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12" w:rsidRDefault="000E009A">
      <w:r>
        <w:fldChar w:fldCharType="begin"/>
      </w:r>
      <w:r>
        <w:instrText xml:space="preserve"> HYPERLINK "</w:instrText>
      </w:r>
      <w:r w:rsidRPr="000E009A">
        <w:instrText>https://www.uvzsr.sk/index.php?option=com_content&amp;view=article&amp;id=4981:vyhlaka-k-organizacii-hromadnych-podujati&amp;catid=56:tlaove-spravy&amp;Itemid=62</w:instrText>
      </w:r>
      <w:r>
        <w:instrText xml:space="preserve">" </w:instrText>
      </w:r>
      <w:r>
        <w:fldChar w:fldCharType="separate"/>
      </w:r>
      <w:r w:rsidRPr="000341D0">
        <w:rPr>
          <w:rStyle w:val="Hypertextovprepojenie"/>
        </w:rPr>
        <w:t>https://www.uvzsr.sk/index.php?option=com_content&amp;view=article&amp;id=4981:vyhlaka-k-organizacii-hromadnych-podujati&amp;catid=56:tlaove-spravy&amp;Itemid=62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4"/>
        <w:gridCol w:w="270"/>
        <w:gridCol w:w="285"/>
      </w:tblGrid>
      <w:tr w:rsidR="000E009A" w:rsidTr="000E009A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E009A" w:rsidRDefault="000E009A">
            <w:pPr>
              <w:rPr>
                <w:sz w:val="24"/>
                <w:szCs w:val="24"/>
              </w:rPr>
            </w:pPr>
            <w:r>
              <w:t xml:space="preserve">Vyhláška k organizácii hromadných podujatí - 2/2022 V. v. SR </w:t>
            </w:r>
          </w:p>
        </w:tc>
        <w:tc>
          <w:tcPr>
            <w:tcW w:w="5000" w:type="pct"/>
            <w:vAlign w:val="center"/>
            <w:hideMark/>
          </w:tcPr>
          <w:p w:rsidR="000E009A" w:rsidRDefault="000E009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8" name="Obrázok 8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0E009A" w:rsidRDefault="000E009A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7" name="Obrázok 7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09A" w:rsidRDefault="000E009A" w:rsidP="000E009A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E009A" w:rsidTr="000E00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009A" w:rsidRDefault="000E009A">
            <w:pPr>
              <w:rPr>
                <w:sz w:val="24"/>
                <w:szCs w:val="24"/>
              </w:rPr>
            </w:pPr>
            <w:hyperlink r:id="rId10" w:history="1">
              <w:r>
                <w:rPr>
                  <w:rStyle w:val="Hypertextovprepojenie"/>
                </w:rPr>
                <w:t xml:space="preserve">Tlačové správy </w:t>
              </w:r>
            </w:hyperlink>
          </w:p>
        </w:tc>
      </w:tr>
      <w:tr w:rsidR="000E009A" w:rsidTr="000E009A">
        <w:trPr>
          <w:tblCellSpacing w:w="15" w:type="dxa"/>
        </w:trPr>
        <w:tc>
          <w:tcPr>
            <w:tcW w:w="0" w:type="auto"/>
            <w:hideMark/>
          </w:tcPr>
          <w:p w:rsidR="000E009A" w:rsidRPr="000E009A" w:rsidRDefault="000E009A">
            <w:pPr>
              <w:rPr>
                <w:b/>
                <w:sz w:val="28"/>
                <w:szCs w:val="28"/>
              </w:rPr>
            </w:pPr>
            <w:r w:rsidRPr="000E009A">
              <w:rPr>
                <w:b/>
                <w:color w:val="FF0000"/>
                <w:sz w:val="28"/>
                <w:szCs w:val="28"/>
              </w:rPr>
              <w:t xml:space="preserve">Utorok, 11. január 2022 21:11 </w:t>
            </w:r>
          </w:p>
        </w:tc>
      </w:tr>
      <w:tr w:rsidR="000E009A" w:rsidTr="000E009A">
        <w:trPr>
          <w:tblCellSpacing w:w="15" w:type="dxa"/>
        </w:trPr>
        <w:tc>
          <w:tcPr>
            <w:tcW w:w="0" w:type="auto"/>
            <w:hideMark/>
          </w:tcPr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 xml:space="preserve">Účinnosť vyhlášky: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12.1.2022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hyperlink r:id="rId1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Vyhláška v plnom znení tu:</w:t>
              </w:r>
            </w:hyperlink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Hromadné podujatia sa po novom delia do troch skupín podľa rizikovosti. V závislosti od rizikovosti sú následne určené maximálne limity účastníkov.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  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Nízko rizikové podujatia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účastníci majú prekryté horné dýchacie cesty respirátorom,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platí zákaz konzumácie pokrmov a nápojov,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povinné sedenie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hromadné podujatie prebieha bez spevu a bez povzbudzovania</w:t>
            </w:r>
            <w:r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           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Podmienky: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režim OP,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najviac 50 % kapacity priestoru alebo maximálne 100 osôb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Príklad: medzi nízkorizikové podujatia možno zaradiť kino bez konzumácie jedál a nápojov v sále, bohoslužby bez spevu alebo divadelné predstavenie bez občerstvenia.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2.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  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Stredne rizikové podujatia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účastníci hromadného podujatia majú prekryté horné dýchacie cesty respirátorom,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 hromadnom podujatí je fixné sedenie alebo státie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  <w:ind w:firstLine="72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Podmienky: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režim OP,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najviac 25 % kapacity priestoru alebo maximálne 100 osôb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Príklad: medzi stredne rizikové podujatia možno zaradiť kino s konzumáciou jedál v sále, športové podujatia s divákmi, bohoslužby so spevom a podobne.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  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Vysoko rizikové podujatia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hromadné podujatie v prevádzke verejného stravovania, alebo 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iné hromadné podujatie, ktoré nespadá do nízko alebo stredne rizikových podujatí</w:t>
            </w:r>
            <w:r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  <w:ind w:firstLine="72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Podmienky: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režim OP,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maximálne 20 osôb,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povinný zoznam účastníkov s uvedenými telefonickými alebo emailovými kontaktmi pre prípad epidemiologického vyšetrovania - organizátor je povinný zoznam uchovávať dva týždne po ukončení podujatia a potom zoznam zničiť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Príklad: medzi vysoko rizikové hromadné podujatia možno zaradiť oslavy, večierky, svadby, kary, diskotéky v prevádzkach a podobne.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>Všeobecné opatrenia pre hromadné podujatia (paragraf 3 vyhlášky)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vyhradenie miesta konania podujatia a vyznačenie vstupu a výstupu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umožniť vstup len s prekrytými hornými dýchacími cestami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organizátor musí byť v každej chvíli schopný preukázať počet účastníkov podujatia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zaistiť pri vstupe dezinfekciu rúk návštevníkov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často vetrať, vykonávať častú dezinfekciu priestorov, hlavne dotykových plôch, kľučiek, podláh v interiéri a predmetov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hygienické zariadenia vybaviť tekutým mydlom a papierovými utierkami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 xml:space="preserve">zabezpečiť dvojmetrové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rozostupy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účastníkov, to neplatí napríklad pre osoby zo spoločnej domácnosti, partnerov, osoby vykonávajúce športovú činnosť, osoby na HP v režime OP, osoby usadené v hľadisku podujatia, umelcov vykonávajúcich umeleckú činnosť a pod.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zabezpečiť vyvesenie oznamov o povolenom počte účastníkov, o potrebe prekrytia horných dýchacích ciest a ďalšie oznamy - podrobnejšie podmienky sú uvedené vo vyhláške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tam, kde je to možné, zabezpečiť sedenie v každom druhom rade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br/>
              <w:t xml:space="preserve">Osobitné podmienky </w:t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(za dodržania všeobecných podmienok, ak nie je stanovené inak)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: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A)  Bohoslužby, sobášne obrady a obrady krstu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dezinfikovať použité predmety slúžiace účelom obradu,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 xml:space="preserve">v prípade kontaktu rozdávajúceho s ústami veriaceho, si musí rozdávajúci zakaždým vydezinfikovať ruky; pri prijímaní „pod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obojím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“ použiť pri každom prijímajúcom vždy novú lyžičku, 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zakazuje sa používať obrady pitia z jednej nádoby viac ako jednou osobou,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v priestoroch, kde sa vykonávajú obrady, je organizátor povinný odstrániť nádoby s vodou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zároveň platia aj všeobecné podmienky pre organizáciu HP, ktoré je možné na tieto typy podujatí aplikovať (vymenované vyššie)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Sobášne obrady vrátane civilných a obrady krstu môžu byť v režime OTP bez kapacitných obmedzení. Pohrebné obrady sú v režime základ a nevzťahujú sa na ne kapacitné obmedzenia.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 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B) 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Zasadnutia a schôdze verejných orgánov a ich poradných orgánov; zasadnutia, schôdze a iné podujatia uskutočňované na základe zákona a voľby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nie je stanovený režim a neplatí povinnosť uchovávať kontakty zúčastnených osôb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C)  Profesionálne športové súťaže a tréningy (vymenované vo vyhláške v paragrafe 2, odsek h)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Povinné testovanie hráčov a členov organizačného tímu, ktorí nie sú očkovaní alebo neprekonali COVID-19 (podrobnosti vo vyhláške v paragrafe 6)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Pre športovcov a organizátorov teda neplatí výhradný režim OP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D)  Ostatné športové súťaže a tréningy pre osoby nad 18 rokov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režim OP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najviac 100 osôb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E)  Hromadné podujatia pre deti a mládež do 18 rokov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najviac 100 osôb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režim OTP: teda možná účasť aj osôb s negatívnym výsledkom RT-PCR alebo LAMP testu nie starším ako 72 hodín od odberu alebo antigénového testu nie starším ako 48 hodín od odberu. U detí do 18 rokov je akceptovaný aj negatívny výsledok testu vykonaný v domácom prostredí pre účely výučby na školách.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Príklad: medzi hromadné podujatia pre osoby do 18 rokov možno zaradiť tréningy pre deti, kultúrne predstavenia určené pre deti a podobne.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F)  Kultúrne podujatia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zamedziť fyzickej kontaktnej interaktívnej práci s publikom,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vytvoriť zóny pre jednotlivé umelecké súbory tak, aby dochádzalo k minimálnej interakcii a k minimálnemu stretávaniu sa umelcov z jednotlivých súborov medzi sebou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G) Činnosť karanténneho tréningového centra pre vrcholový šport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Len na základe súhlasu ministerstiev zdravotníctva a školstva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!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Regionálne úrady verejného zdravotníctva môžu v súvislosti s povolenými hromadnými podujatiami v rámci svojho územného obvodu z dôvodu epidemiologickej situácie nariadiť prísnejšie opatrenia. 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Na účely vyhlášky sa pod pojmom OP, resp. OTP, rozumie: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 </w:t>
            </w:r>
            <w:bookmarkStart w:id="0" w:name="_GoBack"/>
            <w:bookmarkEnd w:id="0"/>
          </w:p>
          <w:p w:rsidR="000E009A" w:rsidRDefault="000E009A" w:rsidP="000E009A">
            <w:pPr>
              <w:pStyle w:val="Normlnywebov"/>
              <w:numPr>
                <w:ilvl w:val="0"/>
                <w:numId w:val="15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Očkovaní (O):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osoby najmenej 14 dní a najviac 1 rok po aplikácii druhej dávky očkovacej látky proti ochoreniu COVID-19 s dvojdávkovou schémou 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osoby najmenej 21 dní a najviac 1 rok po aplikácii prvej dávky očkovacej látky proti ochoreniu COVID-19 s jednodávkovou schémou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osoby najmenej 14 dní a najviac 1 rok po aplikácii prvej dávky očkovacej látky proti ochoreniu COVID-19, ak bola prvá dávka podaná do 180 dní od prekonania ochorenia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deti do 12 rokov a dvoch mesiacov veku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osoba, ktorá má kontraindikáciu očkovania proti ochoreniu COVID-19 podľa  odborného usmernenia Ministerstva zdravotníctva SR a zároveň je schopná sa preukázať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108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certifikátom o výnimke z očkovania podľa odborného usmernenia MZ SR, ktorý je v prílohe vyhlášky a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7"/>
              </w:numPr>
              <w:spacing w:before="0" w:beforeAutospacing="0" w:after="0" w:afterAutospacing="0"/>
              <w:ind w:left="108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negatívnym výsledkom RT-PCR alebo LAMP testu na ochorenie COVID-19 nie starším ako 72 hodín od odberu alebo antigénového testu nie starším ako 48 hodín od odberu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:rsidR="000E009A" w:rsidRDefault="000E009A" w:rsidP="000E009A">
            <w:pPr>
              <w:pStyle w:val="Normlnywebov"/>
              <w:numPr>
                <w:ilvl w:val="0"/>
                <w:numId w:val="18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Testovaní (T):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  <w:ind w:left="72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Negatívny výsledok testu na ochorenie COVID-19: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RT-PCR alebo LAMP test nie starším ako 72 hodín od odberu alebo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antigénový test nie starší ako 48 hodín od odberu - u detí do 18 rokov sa za antigénový test považuje test vykonaný v domácom prostredí v rámci výučby na školách</w:t>
            </w:r>
            <w:r>
              <w:rPr>
                <w:rFonts w:ascii="Arial" w:hAnsi="Arial" w:cs="Arial"/>
                <w:sz w:val="20"/>
                <w:szCs w:val="20"/>
              </w:rPr>
              <w:br/>
              <w:t> 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20"/>
              </w:numPr>
              <w:spacing w:before="0" w:beforeAutospacing="0" w:after="0" w:afterAutospacing="0"/>
              <w:ind w:left="360"/>
              <w:textAlignment w:val="baseline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 prekonaní (P):</w:t>
            </w:r>
          </w:p>
          <w:p w:rsidR="000E009A" w:rsidRDefault="000E009A" w:rsidP="000E009A">
            <w:pPr>
              <w:pStyle w:val="Normlnywebov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</w:pPr>
            <w:r>
              <w:rPr>
                <w:rFonts w:ascii="Arial" w:hAnsi="Arial" w:cs="Arial"/>
                <w:sz w:val="20"/>
                <w:szCs w:val="20"/>
              </w:rPr>
              <w:t>osoby, ktoré prekonali COVID-19 pred nie viac ako 180 dňami. Uvedenú skutočnosť je potrebné preukázať na základe pozitívneho výsledku RT-PCR testu, u detí do 12 rokov aj na základe potvrdenia od všeobecného lekára pre deti a dorast vydaného na základe antigénového testu vykonanom v MOM, vydaného do 15.11.2021.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Potvrdenia o očkovaní, negatívnom výsledku testu alebo prekonaní COVID-19 možno nahradiť digitálnym COVID preukazom EÚ. V opačnom prípade je potrebné tieto skutočnosti preukazovať dokladom, z ktorého je určiteľná identita preukazujúcej sa osoby.</w:t>
            </w:r>
          </w:p>
          <w:p w:rsidR="000E009A" w:rsidRDefault="000E009A" w:rsidP="000E009A">
            <w:pPr>
              <w:pStyle w:val="Normlnywebov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Úrad verejného zdravotníctva Slovenskej republiky</w:t>
            </w:r>
          </w:p>
        </w:tc>
      </w:tr>
    </w:tbl>
    <w:p w:rsidR="000E009A" w:rsidRDefault="000E009A"/>
    <w:sectPr w:rsidR="000E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4D5D"/>
    <w:multiLevelType w:val="multilevel"/>
    <w:tmpl w:val="4F6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D0730"/>
    <w:multiLevelType w:val="multilevel"/>
    <w:tmpl w:val="E0B2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50358"/>
    <w:multiLevelType w:val="multilevel"/>
    <w:tmpl w:val="FC26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45"/>
    <w:multiLevelType w:val="multilevel"/>
    <w:tmpl w:val="2C5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C1A37"/>
    <w:multiLevelType w:val="multilevel"/>
    <w:tmpl w:val="DD0A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67649"/>
    <w:multiLevelType w:val="multilevel"/>
    <w:tmpl w:val="46A0D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2441B5"/>
    <w:multiLevelType w:val="multilevel"/>
    <w:tmpl w:val="F120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C45A1"/>
    <w:multiLevelType w:val="multilevel"/>
    <w:tmpl w:val="FA7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6F7CCF"/>
    <w:multiLevelType w:val="multilevel"/>
    <w:tmpl w:val="D48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025338"/>
    <w:multiLevelType w:val="multilevel"/>
    <w:tmpl w:val="83EA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2C3A56"/>
    <w:multiLevelType w:val="multilevel"/>
    <w:tmpl w:val="81CA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505C95"/>
    <w:multiLevelType w:val="multilevel"/>
    <w:tmpl w:val="23503D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28D4EDD"/>
    <w:multiLevelType w:val="multilevel"/>
    <w:tmpl w:val="9A4241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48790ECE"/>
    <w:multiLevelType w:val="multilevel"/>
    <w:tmpl w:val="735A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E25C71"/>
    <w:multiLevelType w:val="multilevel"/>
    <w:tmpl w:val="5566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A638C3"/>
    <w:multiLevelType w:val="multilevel"/>
    <w:tmpl w:val="7A9C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E24DA8"/>
    <w:multiLevelType w:val="multilevel"/>
    <w:tmpl w:val="BF78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286FEF"/>
    <w:multiLevelType w:val="multilevel"/>
    <w:tmpl w:val="D7C0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5D76CF"/>
    <w:multiLevelType w:val="multilevel"/>
    <w:tmpl w:val="4E04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76E3E"/>
    <w:multiLevelType w:val="multilevel"/>
    <w:tmpl w:val="FE2A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71633E"/>
    <w:multiLevelType w:val="multilevel"/>
    <w:tmpl w:val="39DC3C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0"/>
  </w:num>
  <w:num w:numId="7">
    <w:abstractNumId w:val="9"/>
  </w:num>
  <w:num w:numId="8">
    <w:abstractNumId w:val="7"/>
  </w:num>
  <w:num w:numId="9">
    <w:abstractNumId w:val="15"/>
  </w:num>
  <w:num w:numId="10">
    <w:abstractNumId w:val="14"/>
  </w:num>
  <w:num w:numId="11">
    <w:abstractNumId w:val="17"/>
  </w:num>
  <w:num w:numId="12">
    <w:abstractNumId w:val="16"/>
  </w:num>
  <w:num w:numId="13">
    <w:abstractNumId w:val="8"/>
  </w:num>
  <w:num w:numId="14">
    <w:abstractNumId w:val="4"/>
  </w:num>
  <w:num w:numId="15">
    <w:abstractNumId w:val="19"/>
  </w:num>
  <w:num w:numId="16">
    <w:abstractNumId w:val="11"/>
  </w:num>
  <w:num w:numId="17">
    <w:abstractNumId w:val="5"/>
  </w:num>
  <w:num w:numId="18">
    <w:abstractNumId w:val="6"/>
  </w:num>
  <w:num w:numId="19">
    <w:abstractNumId w:val="20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9A"/>
    <w:rsid w:val="000E009A"/>
    <w:rsid w:val="00E9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E009A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0E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0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E009A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0E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0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dd729a99a603f5d78cbbf751915de3a7efa6c7c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%3Atlaove-spravy&amp;id=4981%3Avyhlaka-k-organizacii-hromadnych-podujati&amp;tmpl=component&amp;print=1&amp;layout=default&amp;page=&amp;option=com_content&amp;Itemid=62" TargetMode="External"/><Relationship Id="rId11" Type="http://schemas.openxmlformats.org/officeDocument/2006/relationships/hyperlink" Target="https://www.uvzsr.sk/docs/info/ut/vyhlaska_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Notebook</dc:creator>
  <cp:lastModifiedBy>CO Notebook</cp:lastModifiedBy>
  <cp:revision>1</cp:revision>
  <dcterms:created xsi:type="dcterms:W3CDTF">2022-01-14T13:25:00Z</dcterms:created>
  <dcterms:modified xsi:type="dcterms:W3CDTF">2022-01-14T13:33:00Z</dcterms:modified>
</cp:coreProperties>
</file>