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FF63B7">
      <w:r>
        <w:fldChar w:fldCharType="begin"/>
      </w:r>
      <w:r>
        <w:instrText xml:space="preserve"> HYPERLINK "</w:instrText>
      </w:r>
      <w:r w:rsidRPr="00FF63B7">
        <w:instrText>https://www.uvzsr.sk/index.php?option=com_content&amp;view=article&amp;id=4533:antigenove-odberove-miesta-zriauju-aj-regionalne-urady-verejneho-zdravotnictva&amp;catid=250:koronavirus-2019-ncov&amp;Itemid=153</w:instrText>
      </w:r>
      <w:r>
        <w:instrText xml:space="preserve">" </w:instrText>
      </w:r>
      <w:r>
        <w:fldChar w:fldCharType="separate"/>
      </w:r>
      <w:r w:rsidRPr="004B452E">
        <w:rPr>
          <w:rStyle w:val="Hypertextovprepojenie"/>
        </w:rPr>
        <w:t>https://www.uvzsr.sk/index.php?option=com_content&amp;view=article&amp;id=4533:antigenove-odberove-miesta-zriauju-aj-regionalne-urady-verejneho-zdravotnictva&amp;catid=250:koronavirus-2019-ncov&amp;Itemid=153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07"/>
        <w:gridCol w:w="270"/>
        <w:gridCol w:w="285"/>
      </w:tblGrid>
      <w:tr w:rsidR="00FF63B7" w:rsidRPr="00FF63B7" w:rsidTr="00FF63B7">
        <w:trPr>
          <w:tblCellSpacing w:w="15" w:type="dxa"/>
        </w:trPr>
        <w:tc>
          <w:tcPr>
            <w:tcW w:w="5000" w:type="pct"/>
            <w:vAlign w:val="center"/>
            <w:hideMark/>
          </w:tcPr>
          <w:p w:rsidR="00FF63B7" w:rsidRPr="00FF63B7" w:rsidRDefault="00FF63B7" w:rsidP="00FF63B7">
            <w:pPr>
              <w:spacing w:after="0" w:line="240" w:lineRule="auto"/>
              <w:rPr>
                <w:rFonts w:ascii="Helvetica" w:eastAsia="Times New Roman" w:hAnsi="Helvetica" w:cs="Times New Roman"/>
                <w:color w:val="669900"/>
                <w:sz w:val="27"/>
                <w:szCs w:val="27"/>
                <w:lang w:eastAsia="sk-SK"/>
              </w:rPr>
            </w:pPr>
            <w:bookmarkStart w:id="0" w:name="_GoBack"/>
            <w:r w:rsidRPr="00FF63B7">
              <w:rPr>
                <w:rFonts w:ascii="Helvetica" w:eastAsia="Times New Roman" w:hAnsi="Helvetica" w:cs="Times New Roman"/>
                <w:color w:val="669900"/>
                <w:sz w:val="27"/>
                <w:szCs w:val="27"/>
                <w:lang w:eastAsia="sk-SK"/>
              </w:rPr>
              <w:t xml:space="preserve">Antigénové odberové miesta zriaďujú aj regionálne úrady verejného zdravotníctva </w:t>
            </w:r>
            <w:bookmarkEnd w:id="0"/>
          </w:p>
        </w:tc>
        <w:tc>
          <w:tcPr>
            <w:tcW w:w="5000" w:type="pct"/>
            <w:vAlign w:val="center"/>
            <w:hideMark/>
          </w:tcPr>
          <w:p w:rsidR="00FF63B7" w:rsidRPr="00FF63B7" w:rsidRDefault="00FF63B7" w:rsidP="00FF63B7">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extent cx="128905" cy="128905"/>
                  <wp:effectExtent l="0" t="0" r="4445" b="4445"/>
                  <wp:docPr id="2" name="Obrázok 2" descr="Tlačiť">
                    <a:hlinkClick xmlns:a="http://schemas.openxmlformats.org/drawingml/2006/main" r:id="rId5"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5" tooltip="&quot;Tlačiť&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c>
          <w:tcPr>
            <w:tcW w:w="5000" w:type="pct"/>
            <w:vAlign w:val="center"/>
            <w:hideMark/>
          </w:tcPr>
          <w:p w:rsidR="00FF63B7" w:rsidRPr="00FF63B7" w:rsidRDefault="00FF63B7" w:rsidP="00FF63B7">
            <w:pPr>
              <w:spacing w:after="0" w:line="240" w:lineRule="auto"/>
              <w:jc w:val="right"/>
              <w:rPr>
                <w:rFonts w:ascii="Helvetica" w:eastAsia="Times New Roman" w:hAnsi="Helvetica" w:cs="Times New Roman"/>
                <w:color w:val="333333"/>
                <w:sz w:val="18"/>
                <w:szCs w:val="18"/>
                <w:lang w:eastAsia="sk-SK"/>
              </w:rPr>
            </w:pPr>
            <w:r>
              <w:rPr>
                <w:rFonts w:ascii="Helvetica" w:eastAsia="Times New Roman" w:hAnsi="Helvetica" w:cs="Times New Roman"/>
                <w:noProof/>
                <w:color w:val="135CAE"/>
                <w:sz w:val="18"/>
                <w:szCs w:val="18"/>
                <w:lang w:eastAsia="sk-SK"/>
              </w:rPr>
              <w:drawing>
                <wp:inline distT="0" distB="0" distL="0" distR="0">
                  <wp:extent cx="128905" cy="128905"/>
                  <wp:effectExtent l="0" t="0" r="4445" b="4445"/>
                  <wp:docPr id="1" name="Obrázok 1" descr="E-mail">
                    <a:hlinkClick xmlns:a="http://schemas.openxmlformats.org/drawingml/2006/main" r:id="rId7"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7" tooltip="&quot;E-mail&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p>
        </w:tc>
      </w:tr>
    </w:tbl>
    <w:p w:rsidR="00FF63B7" w:rsidRPr="00FF63B7" w:rsidRDefault="00FF63B7" w:rsidP="00FF63B7">
      <w:pPr>
        <w:spacing w:after="150" w:line="240" w:lineRule="auto"/>
        <w:rPr>
          <w:rFonts w:ascii="Helvetica" w:eastAsia="Times New Roman" w:hAnsi="Helvetica" w:cs="Times New Roman"/>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FF63B7" w:rsidRPr="00FF63B7" w:rsidTr="00FF63B7">
        <w:trPr>
          <w:tblCellSpacing w:w="15" w:type="dxa"/>
        </w:trPr>
        <w:tc>
          <w:tcPr>
            <w:tcW w:w="0" w:type="auto"/>
            <w:hideMark/>
          </w:tcPr>
          <w:p w:rsidR="00FF63B7" w:rsidRPr="00FF63B7" w:rsidRDefault="00FF63B7" w:rsidP="00FF63B7">
            <w:pPr>
              <w:spacing w:after="0" w:line="240" w:lineRule="auto"/>
              <w:rPr>
                <w:rFonts w:ascii="Arial" w:eastAsia="Times New Roman" w:hAnsi="Arial" w:cs="Arial"/>
                <w:color w:val="999999"/>
                <w:sz w:val="14"/>
                <w:szCs w:val="14"/>
                <w:lang w:eastAsia="sk-SK"/>
              </w:rPr>
            </w:pPr>
            <w:r w:rsidRPr="00FF63B7">
              <w:rPr>
                <w:rFonts w:ascii="Arial" w:eastAsia="Times New Roman" w:hAnsi="Arial" w:cs="Arial"/>
                <w:color w:val="999999"/>
                <w:sz w:val="14"/>
                <w:szCs w:val="14"/>
                <w:lang w:eastAsia="sk-SK"/>
              </w:rPr>
              <w:t xml:space="preserve">Piatok, 27. november 2020 14:07 </w:t>
            </w:r>
          </w:p>
        </w:tc>
      </w:tr>
      <w:tr w:rsidR="00FF63B7" w:rsidRPr="00FF63B7" w:rsidTr="00FF63B7">
        <w:trPr>
          <w:tblCellSpacing w:w="15" w:type="dxa"/>
        </w:trPr>
        <w:tc>
          <w:tcPr>
            <w:tcW w:w="0" w:type="auto"/>
            <w:hideMark/>
          </w:tcPr>
          <w:p w:rsidR="00FF63B7" w:rsidRPr="00FF63B7" w:rsidRDefault="00FF63B7" w:rsidP="00FF63B7">
            <w:pPr>
              <w:spacing w:after="0" w:line="240" w:lineRule="auto"/>
              <w:jc w:val="both"/>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Možnosť dať sa otestovať zadarmo antigénovými testami na ochorenie COVID-19 v súčasnosti ponúkajú aj viaceré regionálne úrady verejného zdravotníctva (RÚVZ). Takýchto odberových miest (OM) zriadených na RÚVZ je zatiaľ 24. Na založení ďalších pracujeme. Regionálnych úradov verejného zdravotníctva je na Slovensku celkovo 36.</w:t>
            </w:r>
          </w:p>
          <w:p w:rsidR="00FF63B7" w:rsidRPr="00FF63B7" w:rsidRDefault="00FF63B7" w:rsidP="00FF63B7">
            <w:pPr>
              <w:spacing w:after="0" w:line="240" w:lineRule="auto"/>
              <w:jc w:val="both"/>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br/>
              <w:t xml:space="preserve">„Rozširovanie siete už dnes fungujúcich antigénových odberových miest po celom Slovensku má veľký zmysel. Ochrana zdravia jednotlivca je veľmi podstatná, preto bude dôležité, aby možnosť antigénového testovania využilo čo najviac ľudí. Epidemiologická situácia na Slovensku a v okolitých krajinách je stále vážna. Pomocou antigénových testov dokážeme identifikovať najviac infekčné osoby, pričom sa ľudia rýchlo dozvedia výsledok,“ </w:t>
            </w:r>
            <w:r w:rsidRPr="00FF63B7">
              <w:rPr>
                <w:rFonts w:ascii="Arial" w:eastAsia="Times New Roman" w:hAnsi="Arial" w:cs="Arial"/>
                <w:color w:val="333333"/>
                <w:sz w:val="20"/>
                <w:szCs w:val="20"/>
                <w:lang w:eastAsia="sk-SK"/>
              </w:rPr>
              <w:t>povedal hlavný hygienik Slovenskej republiky Ján Mikas.</w:t>
            </w:r>
          </w:p>
          <w:p w:rsidR="00FF63B7" w:rsidRPr="00FF63B7" w:rsidRDefault="00FF63B7" w:rsidP="00FF63B7">
            <w:pPr>
              <w:spacing w:after="0" w:line="240" w:lineRule="auto"/>
              <w:jc w:val="both"/>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br/>
              <w:t>Naďalej chceme spomaľovať šírenie ochorenia COVID-9. Pokračujeme v dôslednom vyhľadávaní kontaktov osôb pozitívne testovaných z RT-PCR aj antigénového testovania. Pozitívne testovaným osobám a ich úzkym kontaktom je nariadená izolácia, resp. karanténa, pričom je potrebné dodržiavať pokyny všeobecného lekára a príslušného RÚVZ.</w:t>
            </w:r>
          </w:p>
          <w:p w:rsidR="00FF63B7" w:rsidRPr="00FF63B7" w:rsidRDefault="00FF63B7" w:rsidP="00FF63B7">
            <w:pPr>
              <w:spacing w:after="0" w:line="240" w:lineRule="auto"/>
              <w:jc w:val="both"/>
              <w:rPr>
                <w:rFonts w:ascii="Helvetica" w:eastAsia="Times New Roman" w:hAnsi="Helvetica" w:cs="Times New Roman"/>
                <w:color w:val="333333"/>
                <w:sz w:val="18"/>
                <w:szCs w:val="18"/>
                <w:lang w:eastAsia="sk-SK"/>
              </w:rPr>
            </w:pPr>
            <w:r w:rsidRPr="00FF63B7">
              <w:rPr>
                <w:rFonts w:ascii="Arial" w:eastAsia="Times New Roman" w:hAnsi="Arial" w:cs="Arial"/>
                <w:i/>
                <w:iCs/>
                <w:color w:val="333333"/>
                <w:sz w:val="20"/>
                <w:szCs w:val="20"/>
                <w:lang w:eastAsia="sk-SK"/>
              </w:rPr>
              <w:br/>
            </w:r>
            <w:r w:rsidRPr="00FF63B7">
              <w:rPr>
                <w:rFonts w:ascii="Arial" w:eastAsia="Times New Roman" w:hAnsi="Arial" w:cs="Arial"/>
                <w:i/>
                <w:iCs/>
                <w:color w:val="333333"/>
                <w:sz w:val="20"/>
                <w:szCs w:val="20"/>
                <w:lang w:eastAsia="sk-SK"/>
              </w:rPr>
              <w:br/>
            </w:r>
          </w:p>
          <w:p w:rsidR="00FF63B7" w:rsidRPr="00FF63B7" w:rsidRDefault="00FF63B7" w:rsidP="00FF63B7">
            <w:pPr>
              <w:spacing w:after="0" w:line="240" w:lineRule="auto"/>
              <w:jc w:val="center"/>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Zoznam antigénových odberových miest na RÚVZ k 26.11.2020</w:t>
            </w:r>
          </w:p>
          <w:p w:rsidR="00FF63B7" w:rsidRPr="00FF63B7" w:rsidRDefault="00FF63B7" w:rsidP="00FF63B7">
            <w:pPr>
              <w:spacing w:after="0" w:line="240" w:lineRule="auto"/>
              <w:jc w:val="center"/>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w:t>
            </w:r>
            <w:r w:rsidRPr="00FF63B7">
              <w:rPr>
                <w:rFonts w:ascii="Arial" w:eastAsia="Times New Roman" w:hAnsi="Arial" w:cs="Arial"/>
                <w:color w:val="333333"/>
                <w:sz w:val="20"/>
                <w:szCs w:val="20"/>
                <w:lang w:eastAsia="sk-SK"/>
              </w:rPr>
              <w:t>priebežne bude aktualizovaný na webe Úradu verejného zdravotníctva SR)</w:t>
            </w:r>
          </w:p>
          <w:p w:rsidR="00FF63B7" w:rsidRPr="00FF63B7" w:rsidRDefault="00FF63B7" w:rsidP="00FF63B7">
            <w:pPr>
              <w:spacing w:after="0" w:line="240" w:lineRule="auto"/>
              <w:jc w:val="both"/>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 </w:t>
            </w:r>
          </w:p>
          <w:tbl>
            <w:tblPr>
              <w:tblW w:w="952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9"/>
              <w:gridCol w:w="4335"/>
              <w:gridCol w:w="2702"/>
            </w:tblGrid>
            <w:tr w:rsidR="00FF63B7" w:rsidRPr="00FF63B7">
              <w:trPr>
                <w:trHeight w:val="270"/>
                <w:tblCellSpacing w:w="0" w:type="dxa"/>
                <w:jc w:val="center"/>
              </w:trPr>
              <w:tc>
                <w:tcPr>
                  <w:tcW w:w="2175" w:type="dxa"/>
                  <w:tcBorders>
                    <w:top w:val="single" w:sz="6" w:space="0" w:color="4BACC6"/>
                    <w:left w:val="single" w:sz="6" w:space="0" w:color="4BACC6"/>
                    <w:bottom w:val="single" w:sz="6" w:space="0" w:color="4BACC6"/>
                    <w:right w:val="single" w:sz="6" w:space="0" w:color="auto"/>
                  </w:tcBorders>
                  <w:shd w:val="clear" w:color="auto" w:fill="4BACC6"/>
                  <w:noWrap/>
                  <w:tcMar>
                    <w:top w:w="15" w:type="dxa"/>
                    <w:left w:w="60" w:type="dxa"/>
                    <w:bottom w:w="15" w:type="dxa"/>
                    <w:right w:w="60" w:type="dxa"/>
                  </w:tcMar>
                  <w:hideMark/>
                </w:tcPr>
                <w:p w:rsidR="00FF63B7" w:rsidRPr="00FF63B7" w:rsidRDefault="00FF63B7" w:rsidP="00FF63B7">
                  <w:pPr>
                    <w:spacing w:after="0" w:line="240" w:lineRule="auto"/>
                    <w:jc w:val="center"/>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Okres</w:t>
                  </w:r>
                </w:p>
              </w:tc>
              <w:tc>
                <w:tcPr>
                  <w:tcW w:w="3960" w:type="dxa"/>
                  <w:tcBorders>
                    <w:top w:val="single" w:sz="6" w:space="0" w:color="4BACC6"/>
                    <w:left w:val="single" w:sz="6" w:space="0" w:color="auto"/>
                    <w:bottom w:val="single" w:sz="6" w:space="0" w:color="4BACC6"/>
                    <w:right w:val="single" w:sz="6" w:space="0" w:color="auto"/>
                  </w:tcBorders>
                  <w:shd w:val="clear" w:color="auto" w:fill="4BACC6"/>
                  <w:noWrap/>
                  <w:tcMar>
                    <w:top w:w="15" w:type="dxa"/>
                    <w:left w:w="60" w:type="dxa"/>
                    <w:bottom w:w="15" w:type="dxa"/>
                    <w:right w:w="60" w:type="dxa"/>
                  </w:tcMar>
                  <w:hideMark/>
                </w:tcPr>
                <w:p w:rsidR="00FF63B7" w:rsidRPr="00FF63B7" w:rsidRDefault="00FF63B7" w:rsidP="00FF63B7">
                  <w:pPr>
                    <w:spacing w:after="0" w:line="240" w:lineRule="auto"/>
                    <w:jc w:val="center"/>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Adresa</w:t>
                  </w:r>
                </w:p>
              </w:tc>
              <w:tc>
                <w:tcPr>
                  <w:tcW w:w="2925" w:type="dxa"/>
                  <w:tcBorders>
                    <w:top w:val="single" w:sz="6" w:space="0" w:color="4BACC6"/>
                    <w:left w:val="single" w:sz="6" w:space="0" w:color="auto"/>
                    <w:bottom w:val="single" w:sz="6" w:space="0" w:color="4BACC6"/>
                    <w:right w:val="single" w:sz="6" w:space="0" w:color="4BACC6"/>
                  </w:tcBorders>
                  <w:shd w:val="clear" w:color="auto" w:fill="4BACC6"/>
                  <w:noWrap/>
                  <w:tcMar>
                    <w:top w:w="15" w:type="dxa"/>
                    <w:left w:w="60" w:type="dxa"/>
                    <w:bottom w:w="15" w:type="dxa"/>
                    <w:right w:w="60" w:type="dxa"/>
                  </w:tcMar>
                  <w:hideMark/>
                </w:tcPr>
                <w:p w:rsidR="00FF63B7" w:rsidRPr="00FF63B7" w:rsidRDefault="00FF63B7" w:rsidP="00FF63B7">
                  <w:pPr>
                    <w:spacing w:after="0" w:line="240" w:lineRule="auto"/>
                    <w:jc w:val="center"/>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Prevádzka</w:t>
                  </w:r>
                </w:p>
              </w:tc>
            </w:tr>
            <w:tr w:rsidR="00FF63B7" w:rsidRPr="00FF63B7">
              <w:trPr>
                <w:trHeight w:val="450"/>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Banská Bystrica</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Cesta k nemocnici 1, 975 56 Banská Bystrica  </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PON, STR, PIA, 12:00 - 15:00 (od 30.11.2020)</w:t>
                  </w:r>
                </w:p>
              </w:tc>
            </w:tr>
            <w:tr w:rsidR="00FF63B7" w:rsidRPr="00FF63B7">
              <w:trPr>
                <w:trHeight w:val="450"/>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Bardejov</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proofErr w:type="spellStart"/>
                  <w:r w:rsidRPr="00FF63B7">
                    <w:rPr>
                      <w:rFonts w:ascii="Arial" w:eastAsia="Times New Roman" w:hAnsi="Arial" w:cs="Arial"/>
                      <w:color w:val="333333"/>
                      <w:sz w:val="20"/>
                      <w:szCs w:val="20"/>
                      <w:lang w:eastAsia="sk-SK"/>
                    </w:rPr>
                    <w:t>Kuzmányho</w:t>
                  </w:r>
                  <w:proofErr w:type="spellEnd"/>
                  <w:r w:rsidRPr="00FF63B7">
                    <w:rPr>
                      <w:rFonts w:ascii="Arial" w:eastAsia="Times New Roman" w:hAnsi="Arial" w:cs="Arial"/>
                      <w:color w:val="333333"/>
                      <w:sz w:val="20"/>
                      <w:szCs w:val="20"/>
                      <w:lang w:eastAsia="sk-SK"/>
                    </w:rPr>
                    <w:t xml:space="preserve"> 18, Bardejov </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PON, STR, PIA 09:00 - 12:00</w:t>
                  </w:r>
                </w:p>
              </w:tc>
            </w:tr>
            <w:tr w:rsidR="00FF63B7" w:rsidRPr="00FF63B7">
              <w:trPr>
                <w:trHeight w:val="450"/>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Dolný Kubín</w:t>
                  </w:r>
                </w:p>
              </w:tc>
              <w:tc>
                <w:tcPr>
                  <w:tcW w:w="3960"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Nemocničná 1944, Dolný Kubín</w:t>
                  </w:r>
                </w:p>
              </w:tc>
              <w:tc>
                <w:tcPr>
                  <w:tcW w:w="2925"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PON – ŠTV 8:00-12:00, 13:00 -15:00; PIA do 14:00 </w:t>
                  </w:r>
                </w:p>
              </w:tc>
            </w:tr>
            <w:tr w:rsidR="00FF63B7" w:rsidRPr="00FF63B7">
              <w:trPr>
                <w:trHeight w:val="450"/>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Galanta</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proofErr w:type="spellStart"/>
                  <w:r w:rsidRPr="00FF63B7">
                    <w:rPr>
                      <w:rFonts w:ascii="Arial" w:eastAsia="Times New Roman" w:hAnsi="Arial" w:cs="Arial"/>
                      <w:color w:val="333333"/>
                      <w:sz w:val="20"/>
                      <w:szCs w:val="20"/>
                      <w:lang w:eastAsia="sk-SK"/>
                    </w:rPr>
                    <w:t>Hodská</w:t>
                  </w:r>
                  <w:proofErr w:type="spellEnd"/>
                  <w:r w:rsidRPr="00FF63B7">
                    <w:rPr>
                      <w:rFonts w:ascii="Arial" w:eastAsia="Times New Roman" w:hAnsi="Arial" w:cs="Arial"/>
                      <w:color w:val="333333"/>
                      <w:sz w:val="20"/>
                      <w:szCs w:val="20"/>
                      <w:lang w:eastAsia="sk-SK"/>
                    </w:rPr>
                    <w:t xml:space="preserve"> 2352/62, Galanta</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 xml:space="preserve">PON - PIA 9.00 – 12.00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Komárno</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proofErr w:type="spellStart"/>
                  <w:r w:rsidRPr="00FF63B7">
                    <w:rPr>
                      <w:rFonts w:ascii="Arial" w:eastAsia="Times New Roman" w:hAnsi="Arial" w:cs="Arial"/>
                      <w:color w:val="000000"/>
                      <w:sz w:val="20"/>
                      <w:szCs w:val="20"/>
                      <w:lang w:eastAsia="sk-SK"/>
                    </w:rPr>
                    <w:t>Mederčská</w:t>
                  </w:r>
                  <w:proofErr w:type="spellEnd"/>
                  <w:r w:rsidRPr="00FF63B7">
                    <w:rPr>
                      <w:rFonts w:ascii="Arial" w:eastAsia="Times New Roman" w:hAnsi="Arial" w:cs="Arial"/>
                      <w:color w:val="000000"/>
                      <w:sz w:val="20"/>
                      <w:szCs w:val="20"/>
                      <w:lang w:eastAsia="sk-SK"/>
                    </w:rPr>
                    <w:t xml:space="preserve"> 39, 945 01 Komárno</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PON - PIA: 8:00 - 11:00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Košice</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Kúpalisko Červená hviezda Staničné námestie 5, Košice</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 xml:space="preserve">PON - PIA: 8:00 - 12:00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Levice</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Komenského 3186/4, Levice -                                                                   prístrešok pred  vstupom do budovy z vnútornej strany dvora</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PON, STR, ŠTV: 9:00 - 12:00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Lučenec</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Ulica A. Petőfiho č. 1, RÚVZ Lučenec</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PON, STR, PIA 09:00 - 12:00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Martin</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Ul. </w:t>
                  </w:r>
                  <w:proofErr w:type="spellStart"/>
                  <w:r w:rsidRPr="00FF63B7">
                    <w:rPr>
                      <w:rFonts w:ascii="Arial" w:eastAsia="Times New Roman" w:hAnsi="Arial" w:cs="Arial"/>
                      <w:color w:val="000000"/>
                      <w:sz w:val="20"/>
                      <w:szCs w:val="20"/>
                      <w:lang w:eastAsia="sk-SK"/>
                    </w:rPr>
                    <w:t>Kuzmányho</w:t>
                  </w:r>
                  <w:proofErr w:type="spellEnd"/>
                  <w:r w:rsidRPr="00FF63B7">
                    <w:rPr>
                      <w:rFonts w:ascii="Arial" w:eastAsia="Times New Roman" w:hAnsi="Arial" w:cs="Arial"/>
                      <w:color w:val="000000"/>
                      <w:sz w:val="20"/>
                      <w:szCs w:val="20"/>
                      <w:lang w:eastAsia="sk-SK"/>
                    </w:rPr>
                    <w:t xml:space="preserve"> 27, Martin, budova B</w:t>
                  </w:r>
                </w:p>
              </w:tc>
              <w:tc>
                <w:tcPr>
                  <w:tcW w:w="2925"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UTO 08:00 – 10:00; ŠTV 08:00 – 10:00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Michalovce</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S. Chalupku č. 5, 071 01 Michalovce</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 xml:space="preserve">PON:   9:00 – 12:00 </w:t>
                  </w:r>
                  <w:r w:rsidRPr="00FF63B7">
                    <w:rPr>
                      <w:rFonts w:ascii="Arial" w:eastAsia="Times New Roman" w:hAnsi="Arial" w:cs="Arial"/>
                      <w:color w:val="333333"/>
                      <w:sz w:val="20"/>
                      <w:szCs w:val="20"/>
                      <w:lang w:eastAsia="sk-SK"/>
                    </w:rPr>
                    <w:br/>
                    <w:t xml:space="preserve">STR:   12:00 -  16:00 </w:t>
                  </w:r>
                  <w:r w:rsidRPr="00FF63B7">
                    <w:rPr>
                      <w:rFonts w:ascii="Arial" w:eastAsia="Times New Roman" w:hAnsi="Arial" w:cs="Arial"/>
                      <w:color w:val="333333"/>
                      <w:sz w:val="20"/>
                      <w:szCs w:val="20"/>
                      <w:lang w:eastAsia="sk-SK"/>
                    </w:rPr>
                    <w:br/>
                    <w:t>PIA:    9:00 – 12:00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Nitra</w:t>
                  </w:r>
                </w:p>
              </w:tc>
              <w:tc>
                <w:tcPr>
                  <w:tcW w:w="3960"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proofErr w:type="spellStart"/>
                  <w:r w:rsidRPr="00FF63B7">
                    <w:rPr>
                      <w:rFonts w:ascii="Arial" w:eastAsia="Times New Roman" w:hAnsi="Arial" w:cs="Arial"/>
                      <w:color w:val="000000"/>
                      <w:sz w:val="20"/>
                      <w:szCs w:val="20"/>
                      <w:lang w:eastAsia="sk-SK"/>
                    </w:rPr>
                    <w:t>Damborského</w:t>
                  </w:r>
                  <w:proofErr w:type="spellEnd"/>
                  <w:r w:rsidRPr="00FF63B7">
                    <w:rPr>
                      <w:rFonts w:ascii="Arial" w:eastAsia="Times New Roman" w:hAnsi="Arial" w:cs="Arial"/>
                      <w:color w:val="000000"/>
                      <w:sz w:val="20"/>
                      <w:szCs w:val="20"/>
                      <w:lang w:eastAsia="sk-SK"/>
                    </w:rPr>
                    <w:t xml:space="preserve"> 15, Nitra</w:t>
                  </w:r>
                </w:p>
              </w:tc>
              <w:tc>
                <w:tcPr>
                  <w:tcW w:w="2925"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PON, STR 08.00 – 11:00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lastRenderedPageBreak/>
                    <w:t>Poprad</w:t>
                  </w:r>
                </w:p>
              </w:tc>
              <w:tc>
                <w:tcPr>
                  <w:tcW w:w="3960" w:type="dxa"/>
                  <w:tcBorders>
                    <w:top w:val="single" w:sz="6" w:space="0" w:color="auto"/>
                    <w:left w:val="single" w:sz="6" w:space="0" w:color="auto"/>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ul. Zdravotnícka 3525/3, 058 01 Poprad</w:t>
                  </w:r>
                </w:p>
              </w:tc>
              <w:tc>
                <w:tcPr>
                  <w:tcW w:w="2925" w:type="dxa"/>
                  <w:tcBorders>
                    <w:top w:val="single" w:sz="6" w:space="0" w:color="auto"/>
                    <w:left w:val="single" w:sz="6" w:space="0" w:color="auto"/>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PON, STR, PIA 09:00 - 12:00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Prešov</w:t>
                  </w:r>
                </w:p>
              </w:tc>
              <w:tc>
                <w:tcPr>
                  <w:tcW w:w="3960"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Jána Hollého 5, Prešov (adresa RÚVZ Prešov)</w:t>
                  </w:r>
                </w:p>
              </w:tc>
              <w:tc>
                <w:tcPr>
                  <w:tcW w:w="2925"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PON, STR, PIA 09:00 - 12:00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Prievidza</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Nemocničná 8, Bojnice</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UTO, STR, ŠTV 08:00 - 12:00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Rimavská Sobota</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stan, Sama Tomášika 14, Rimavská Sobota</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UTO, ŠTV 10:00 - 14:00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Rožňava</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proofErr w:type="spellStart"/>
                  <w:r w:rsidRPr="00FF63B7">
                    <w:rPr>
                      <w:rFonts w:ascii="Arial" w:eastAsia="Times New Roman" w:hAnsi="Arial" w:cs="Arial"/>
                      <w:color w:val="333333"/>
                      <w:sz w:val="20"/>
                      <w:szCs w:val="20"/>
                      <w:lang w:eastAsia="sk-SK"/>
                    </w:rPr>
                    <w:t>Špitálska</w:t>
                  </w:r>
                  <w:proofErr w:type="spellEnd"/>
                  <w:r w:rsidRPr="00FF63B7">
                    <w:rPr>
                      <w:rFonts w:ascii="Arial" w:eastAsia="Times New Roman" w:hAnsi="Arial" w:cs="Arial"/>
                      <w:color w:val="333333"/>
                      <w:sz w:val="20"/>
                      <w:szCs w:val="20"/>
                      <w:lang w:eastAsia="sk-SK"/>
                    </w:rPr>
                    <w:t xml:space="preserve"> 3, Rožňava</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UTO, ŠTV 14:00 - 16:00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Spišská Nová Ves</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A. </w:t>
                  </w:r>
                  <w:proofErr w:type="spellStart"/>
                  <w:r w:rsidRPr="00FF63B7">
                    <w:rPr>
                      <w:rFonts w:ascii="Arial" w:eastAsia="Times New Roman" w:hAnsi="Arial" w:cs="Arial"/>
                      <w:color w:val="000000"/>
                      <w:sz w:val="20"/>
                      <w:szCs w:val="20"/>
                      <w:lang w:eastAsia="sk-SK"/>
                    </w:rPr>
                    <w:t>Mickiewicza</w:t>
                  </w:r>
                  <w:proofErr w:type="spellEnd"/>
                  <w:r w:rsidRPr="00FF63B7">
                    <w:rPr>
                      <w:rFonts w:ascii="Arial" w:eastAsia="Times New Roman" w:hAnsi="Arial" w:cs="Arial"/>
                      <w:color w:val="000000"/>
                      <w:sz w:val="20"/>
                      <w:szCs w:val="20"/>
                      <w:lang w:eastAsia="sk-SK"/>
                    </w:rPr>
                    <w:t xml:space="preserve"> 6 Spišská Nová Ves</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PON, STR, PIA 13:00 - 15:30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Stará Ľubovňa</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 xml:space="preserve">Obrancov mieru 1, 064 01 Stará Ľubovňa </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 xml:space="preserve">UTO 7:30 - 11:30 </w:t>
                  </w:r>
                </w:p>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 xml:space="preserve">ŠTV, PIA 7:30 – 10:30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Svidník</w:t>
                  </w:r>
                </w:p>
              </w:tc>
              <w:tc>
                <w:tcPr>
                  <w:tcW w:w="3960"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ul. Sov. Hrdinov 79, Svidník</w:t>
                  </w:r>
                </w:p>
              </w:tc>
              <w:tc>
                <w:tcPr>
                  <w:tcW w:w="2925" w:type="dxa"/>
                  <w:tcBorders>
                    <w:top w:val="single" w:sz="6" w:space="0" w:color="auto"/>
                    <w:left w:val="single" w:sz="6" w:space="0" w:color="auto"/>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 xml:space="preserve">UTO, ŠTV 09:00 - 11:00 </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Trebišov</w:t>
                  </w:r>
                </w:p>
              </w:tc>
              <w:tc>
                <w:tcPr>
                  <w:tcW w:w="3960" w:type="dxa"/>
                  <w:tcBorders>
                    <w:top w:val="single" w:sz="6" w:space="0" w:color="auto"/>
                    <w:left w:val="single" w:sz="6" w:space="0" w:color="auto"/>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Jilemnického 3370/2, Trebišov</w:t>
                  </w:r>
                </w:p>
              </w:tc>
              <w:tc>
                <w:tcPr>
                  <w:tcW w:w="2925" w:type="dxa"/>
                  <w:tcBorders>
                    <w:top w:val="single" w:sz="6" w:space="0" w:color="auto"/>
                    <w:left w:val="single" w:sz="6" w:space="0" w:color="auto"/>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UTO, ŠTV, SOB 09:00 - 12:00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Trenčín</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RÚVZ Trenčín, Nemocničná 4, Trenčín</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PON, STR, PIA 8:00 -  12:00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Trnava</w:t>
                  </w:r>
                </w:p>
              </w:tc>
              <w:tc>
                <w:tcPr>
                  <w:tcW w:w="3960"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Budova MsÚ Trnava, Trhová 3, 917 01 Trnava</w:t>
                  </w:r>
                </w:p>
              </w:tc>
              <w:tc>
                <w:tcPr>
                  <w:tcW w:w="2925" w:type="dxa"/>
                  <w:tcBorders>
                    <w:top w:val="single" w:sz="6" w:space="0" w:color="auto"/>
                    <w:left w:val="single" w:sz="6" w:space="0" w:color="auto"/>
                    <w:bottom w:val="single" w:sz="6" w:space="0" w:color="92CDDC"/>
                    <w:right w:val="single" w:sz="6" w:space="0" w:color="92CDDC"/>
                  </w:tcBorders>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PON, STR, ŠTV 8:00 – 11:00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shd w:val="clear" w:color="auto" w:fill="DAEEF3"/>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000000"/>
                      <w:sz w:val="20"/>
                      <w:szCs w:val="20"/>
                      <w:lang w:eastAsia="sk-SK"/>
                    </w:rPr>
                    <w:t>Veľký Krtíš</w:t>
                  </w:r>
                </w:p>
              </w:tc>
              <w:tc>
                <w:tcPr>
                  <w:tcW w:w="3960"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Banícka 679, Veľký Krtíš</w:t>
                  </w:r>
                </w:p>
              </w:tc>
              <w:tc>
                <w:tcPr>
                  <w:tcW w:w="2925" w:type="dxa"/>
                  <w:tcBorders>
                    <w:top w:val="single" w:sz="6" w:space="0" w:color="auto"/>
                    <w:left w:val="single" w:sz="6" w:space="0" w:color="auto"/>
                    <w:bottom w:val="single" w:sz="6" w:space="0" w:color="92CDDC"/>
                    <w:right w:val="single" w:sz="6" w:space="0" w:color="92CDDC"/>
                  </w:tcBorders>
                  <w:shd w:val="clear" w:color="auto" w:fill="DAEEF3"/>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000000"/>
                      <w:sz w:val="20"/>
                      <w:szCs w:val="20"/>
                      <w:lang w:eastAsia="sk-SK"/>
                    </w:rPr>
                    <w:t>PON - PIA 13:00 - 15:30</w:t>
                  </w:r>
                </w:p>
              </w:tc>
            </w:tr>
            <w:tr w:rsidR="00FF63B7" w:rsidRPr="00FF63B7">
              <w:trPr>
                <w:trHeight w:val="465"/>
                <w:tblCellSpacing w:w="0" w:type="dxa"/>
                <w:jc w:val="center"/>
              </w:trPr>
              <w:tc>
                <w:tcPr>
                  <w:tcW w:w="2175" w:type="dxa"/>
                  <w:tcBorders>
                    <w:top w:val="single" w:sz="6" w:space="0" w:color="auto"/>
                    <w:left w:val="single" w:sz="6" w:space="0" w:color="92CDDC"/>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b/>
                      <w:bCs/>
                      <w:color w:val="333333"/>
                      <w:sz w:val="20"/>
                      <w:szCs w:val="20"/>
                      <w:lang w:eastAsia="sk-SK"/>
                    </w:rPr>
                    <w:t>Žiar nad Hronom</w:t>
                  </w:r>
                </w:p>
              </w:tc>
              <w:tc>
                <w:tcPr>
                  <w:tcW w:w="3960" w:type="dxa"/>
                  <w:tcBorders>
                    <w:top w:val="single" w:sz="6" w:space="0" w:color="auto"/>
                    <w:left w:val="single" w:sz="6" w:space="0" w:color="auto"/>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Ul. Cyrila a Metoda 357/23, Žiar nad Hronom</w:t>
                  </w:r>
                </w:p>
              </w:tc>
              <w:tc>
                <w:tcPr>
                  <w:tcW w:w="2925" w:type="dxa"/>
                  <w:tcBorders>
                    <w:top w:val="single" w:sz="6" w:space="0" w:color="auto"/>
                    <w:left w:val="single" w:sz="6" w:space="0" w:color="auto"/>
                    <w:bottom w:val="single" w:sz="6" w:space="0" w:color="92CDDC"/>
                    <w:right w:val="single" w:sz="6" w:space="0" w:color="92CDDC"/>
                  </w:tcBorders>
                  <w:noWrap/>
                  <w:tcMar>
                    <w:top w:w="15" w:type="dxa"/>
                    <w:left w:w="60" w:type="dxa"/>
                    <w:bottom w:w="15" w:type="dxa"/>
                    <w:right w:w="60" w:type="dxa"/>
                  </w:tcMar>
                  <w:hideMark/>
                </w:tcPr>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r w:rsidRPr="00FF63B7">
                    <w:rPr>
                      <w:rFonts w:ascii="Arial" w:eastAsia="Times New Roman" w:hAnsi="Arial" w:cs="Arial"/>
                      <w:color w:val="333333"/>
                      <w:sz w:val="20"/>
                      <w:szCs w:val="20"/>
                      <w:lang w:eastAsia="sk-SK"/>
                    </w:rPr>
                    <w:t>PON - PIA 09:00 - 11:00</w:t>
                  </w:r>
                </w:p>
              </w:tc>
            </w:tr>
          </w:tbl>
          <w:p w:rsidR="00FF63B7" w:rsidRPr="00FF63B7" w:rsidRDefault="00FF63B7" w:rsidP="00FF63B7">
            <w:pPr>
              <w:spacing w:after="0" w:line="240" w:lineRule="auto"/>
              <w:rPr>
                <w:rFonts w:ascii="Helvetica" w:eastAsia="Times New Roman" w:hAnsi="Helvetica" w:cs="Times New Roman"/>
                <w:color w:val="333333"/>
                <w:sz w:val="18"/>
                <w:szCs w:val="18"/>
                <w:lang w:eastAsia="sk-SK"/>
              </w:rPr>
            </w:pPr>
          </w:p>
        </w:tc>
      </w:tr>
    </w:tbl>
    <w:p w:rsidR="00FF63B7" w:rsidRDefault="00FF63B7">
      <w:r w:rsidRPr="00FF63B7">
        <w:rPr>
          <w:rFonts w:ascii="Helvetica" w:eastAsia="Times New Roman" w:hAnsi="Helvetica" w:cs="Times New Roman"/>
          <w:color w:val="333333"/>
          <w:sz w:val="18"/>
          <w:szCs w:val="18"/>
          <w:lang w:eastAsia="sk-SK"/>
        </w:rPr>
        <w:lastRenderedPageBreak/>
        <w:t> </w:t>
      </w:r>
    </w:p>
    <w:sectPr w:rsidR="00FF63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3B7"/>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 w:val="00FF63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F63B7"/>
    <w:rPr>
      <w:color w:val="0000FF" w:themeColor="hyperlink"/>
      <w:u w:val="single"/>
    </w:rPr>
  </w:style>
  <w:style w:type="paragraph" w:styleId="Normlnywebov">
    <w:name w:val="Normal (Web)"/>
    <w:basedOn w:val="Normlny"/>
    <w:uiPriority w:val="99"/>
    <w:unhideWhenUsed/>
    <w:rsid w:val="00FF63B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F63B7"/>
    <w:rPr>
      <w:vanish w:val="0"/>
      <w:webHidden w:val="0"/>
      <w:specVanish w:val="0"/>
    </w:rPr>
  </w:style>
  <w:style w:type="paragraph" w:styleId="Textbubliny">
    <w:name w:val="Balloon Text"/>
    <w:basedOn w:val="Normlny"/>
    <w:link w:val="TextbublinyChar"/>
    <w:uiPriority w:val="99"/>
    <w:semiHidden/>
    <w:unhideWhenUsed/>
    <w:rsid w:val="00FF63B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F63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FF63B7"/>
    <w:rPr>
      <w:color w:val="0000FF" w:themeColor="hyperlink"/>
      <w:u w:val="single"/>
    </w:rPr>
  </w:style>
  <w:style w:type="paragraph" w:styleId="Normlnywebov">
    <w:name w:val="Normal (Web)"/>
    <w:basedOn w:val="Normlny"/>
    <w:uiPriority w:val="99"/>
    <w:unhideWhenUsed/>
    <w:rsid w:val="00FF63B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rticleseparator">
    <w:name w:val="article_separator"/>
    <w:basedOn w:val="Predvolenpsmoodseku"/>
    <w:rsid w:val="00FF63B7"/>
    <w:rPr>
      <w:vanish w:val="0"/>
      <w:webHidden w:val="0"/>
      <w:specVanish w:val="0"/>
    </w:rPr>
  </w:style>
  <w:style w:type="paragraph" w:styleId="Textbubliny">
    <w:name w:val="Balloon Text"/>
    <w:basedOn w:val="Normlny"/>
    <w:link w:val="TextbublinyChar"/>
    <w:uiPriority w:val="99"/>
    <w:semiHidden/>
    <w:unhideWhenUsed/>
    <w:rsid w:val="00FF63B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FF63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201622">
      <w:bodyDiv w:val="1"/>
      <w:marLeft w:val="0"/>
      <w:marRight w:val="0"/>
      <w:marTop w:val="0"/>
      <w:marBottom w:val="150"/>
      <w:divBdr>
        <w:top w:val="none" w:sz="0" w:space="0" w:color="auto"/>
        <w:left w:val="none" w:sz="0" w:space="0" w:color="auto"/>
        <w:bottom w:val="none" w:sz="0" w:space="0" w:color="auto"/>
        <w:right w:val="none" w:sz="0" w:space="0" w:color="auto"/>
      </w:divBdr>
      <w:divsChild>
        <w:div w:id="1438715477">
          <w:marLeft w:val="0"/>
          <w:marRight w:val="0"/>
          <w:marTop w:val="0"/>
          <w:marBottom w:val="0"/>
          <w:divBdr>
            <w:top w:val="none" w:sz="0" w:space="0" w:color="auto"/>
            <w:left w:val="none" w:sz="0" w:space="0" w:color="auto"/>
            <w:bottom w:val="none" w:sz="0" w:space="0" w:color="auto"/>
            <w:right w:val="none" w:sz="0" w:space="0" w:color="auto"/>
          </w:divBdr>
          <w:divsChild>
            <w:div w:id="297994937">
              <w:marLeft w:val="0"/>
              <w:marRight w:val="0"/>
              <w:marTop w:val="0"/>
              <w:marBottom w:val="0"/>
              <w:divBdr>
                <w:top w:val="none" w:sz="0" w:space="0" w:color="auto"/>
                <w:left w:val="none" w:sz="0" w:space="0" w:color="auto"/>
                <w:bottom w:val="none" w:sz="0" w:space="0" w:color="auto"/>
                <w:right w:val="none" w:sz="0" w:space="0" w:color="auto"/>
              </w:divBdr>
              <w:divsChild>
                <w:div w:id="1650673789">
                  <w:marLeft w:val="0"/>
                  <w:marRight w:val="0"/>
                  <w:marTop w:val="0"/>
                  <w:marBottom w:val="0"/>
                  <w:divBdr>
                    <w:top w:val="none" w:sz="0" w:space="0" w:color="auto"/>
                    <w:left w:val="none" w:sz="0" w:space="0" w:color="auto"/>
                    <w:bottom w:val="none" w:sz="0" w:space="0" w:color="auto"/>
                    <w:right w:val="none" w:sz="0" w:space="0" w:color="auto"/>
                  </w:divBdr>
                  <w:divsChild>
                    <w:div w:id="117495128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uvzsr.sk/index.php?option=com_mailto&amp;tmpl=component&amp;link=664d710aeac9e38998c9426b0b3ba6300a9295d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uvzsr.sk/index.php?view=article&amp;catid=250%3Akoronavirus-2019-ncov&amp;id=4533%3Aantigenove-odberove-miesta-zriauju-aj-regionalne-urady-verejneho-zdravotnictva&amp;tmpl=component&amp;print=1&amp;layout=default&amp;page=&amp;option=com_content&amp;Itemid=15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3203</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2020-11-27T14:51:00Z</dcterms:created>
  <dcterms:modified xsi:type="dcterms:W3CDTF">2020-11-27T14:52:00Z</dcterms:modified>
</cp:coreProperties>
</file>