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927D67">
      <w:r>
        <w:fldChar w:fldCharType="begin"/>
      </w:r>
      <w:r>
        <w:instrText xml:space="preserve"> HYPERLINK "</w:instrText>
      </w:r>
      <w:r w:rsidRPr="00927D67">
        <w:instrText>https://www.uvzsr.sk/index.php?option=com_content&amp;view=article&amp;id=5105:informacia-k-zrueniu-hraninej-vyhlaky-a-k-novej-vyhlake-k-prekrytiu-dychacich-ciest&amp;catid=56:tlaove-spravy&amp;Itemid=62</w:instrText>
      </w:r>
      <w:r>
        <w:instrText xml:space="preserve">" </w:instrText>
      </w:r>
      <w:r>
        <w:fldChar w:fldCharType="separate"/>
      </w:r>
      <w:r w:rsidRPr="00E66A21">
        <w:rPr>
          <w:rStyle w:val="Hypertextovprepojenie"/>
        </w:rPr>
        <w:t>https://www.uvzsr.sk/index.php?option=com_content&amp;view=article&amp;id=5105:informacia-k-zrueniu-hraninej-vyhlaky-a-k-novej-vyhlake-k-prekrytiu-dychacich-ciest&amp;catid=56:tlaove-spravy&amp;Itemid=62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927D67" w:rsidTr="00927D6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27D67" w:rsidRDefault="00927D67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Informácia k zrušeniu hraničnej vyhlášky a k novej vyhláške k prekrytiu dýchacích ciest </w:t>
            </w:r>
          </w:p>
        </w:tc>
        <w:tc>
          <w:tcPr>
            <w:tcW w:w="5000" w:type="pct"/>
            <w:vAlign w:val="center"/>
            <w:hideMark/>
          </w:tcPr>
          <w:p w:rsidR="00927D67" w:rsidRDefault="00927D6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927D67" w:rsidRDefault="00927D6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D67" w:rsidRDefault="00927D67" w:rsidP="00927D67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27D67" w:rsidTr="00927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D67" w:rsidRDefault="00927D6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927D67" w:rsidTr="00927D67">
        <w:trPr>
          <w:tblCellSpacing w:w="15" w:type="dxa"/>
        </w:trPr>
        <w:tc>
          <w:tcPr>
            <w:tcW w:w="0" w:type="auto"/>
            <w:hideMark/>
          </w:tcPr>
          <w:p w:rsidR="00927D67" w:rsidRPr="00927D67" w:rsidRDefault="00927D67">
            <w:pPr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927D67">
              <w:rPr>
                <w:rFonts w:ascii="Arial" w:hAnsi="Arial" w:cs="Arial"/>
                <w:color w:val="FF0000"/>
                <w:sz w:val="28"/>
                <w:szCs w:val="28"/>
              </w:rPr>
              <w:t xml:space="preserve">Pondelok, 04. apríl 2022 14:30 </w:t>
            </w:r>
          </w:p>
        </w:tc>
      </w:tr>
      <w:tr w:rsidR="00927D67" w:rsidTr="00927D67">
        <w:trPr>
          <w:tblCellSpacing w:w="15" w:type="dxa"/>
        </w:trPr>
        <w:tc>
          <w:tcPr>
            <w:tcW w:w="0" w:type="auto"/>
            <w:hideMark/>
          </w:tcPr>
          <w:p w:rsidR="00927D67" w:rsidRDefault="00927D6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Účinnosť: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6. apríla 2022</w:t>
            </w:r>
          </w:p>
          <w:p w:rsidR="00927D67" w:rsidRDefault="00927D67">
            <w:pPr>
              <w:pStyle w:val="Normlnywebov"/>
              <w:spacing w:before="0" w:beforeAutospacing="0" w:after="24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Link na vyhlášku: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927D67" w:rsidRDefault="00927D67">
            <w:pPr>
              <w:pStyle w:val="Normlnywebov"/>
              <w:spacing w:before="0" w:beforeAutospacing="0" w:after="0" w:afterAutospacing="0"/>
              <w:ind w:firstLine="72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 Zrušenie vyhlášky k režimu na hraniciach:</w:t>
            </w:r>
            <w:bookmarkStart w:id="0" w:name="_GoBack"/>
            <w:bookmarkEnd w:id="0"/>
          </w:p>
          <w:p w:rsidR="00927D67" w:rsidRDefault="00927D6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 6. apríla 2022 sa ruší vyhláška, ktorou sa upravoval režim na hraniciach. Zaniká tak povinnosť registrácie na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eHranici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aj povinná karanténa pre nezaočkované osoby. Naďalej však odporúčame obozretnosť, sledovať svoj zdravotný stav a v prípade objavenia sa príznakov COVID-19 kontaktovať svojho všeobecného lekára, resp. pediatra.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u w:val="single"/>
              </w:rPr>
              <w:t>Poznámka: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Zrušujúce ustanovenie k vyhláške určujúcej režim na hraniciach nájdete v paragrafe 4 vyhlášky upravujúcej prekrytie dýchacích ciest.</w:t>
            </w:r>
          </w:p>
          <w:p w:rsidR="00927D67" w:rsidRDefault="00927D6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:rsidR="00927D67" w:rsidRDefault="00927D67">
            <w:pPr>
              <w:pStyle w:val="Normlnywebov"/>
              <w:spacing w:before="0" w:beforeAutospacing="0" w:after="0" w:afterAutospacing="0"/>
              <w:ind w:firstLine="72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 Zmena vyhlášky k prekrytiu horných dýchacích ciest: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 6. apríla 2022 sa ruší povinnosť prekrytia horných dýchacích ciest v exteriéri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(táto povinnosť platila, ak sa ste sa nachádzali menej ako dva metre od osoby mimo spoločnej domácnosti).</w:t>
            </w:r>
          </w:p>
          <w:p w:rsidR="00927D67" w:rsidRDefault="00927D6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Naďalej však ostáva povinnosť nosiť respirátor:</w:t>
            </w:r>
          </w:p>
          <w:p w:rsidR="00927D67" w:rsidRDefault="00927D67" w:rsidP="00927D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na hromadných podujatiach ako v interiéri, tak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aj v exteriéri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:rsidR="00927D67" w:rsidRDefault="00927D67" w:rsidP="00927D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 všetkých interiéroch verejných budov - úrady, obchody, prevádzky služieb, budovy športových a kultúrnych podujatí, pracoviská a podobne,</w:t>
            </w:r>
          </w:p>
          <w:p w:rsidR="00927D67" w:rsidRDefault="00927D67" w:rsidP="00927D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prostriedkoch verejnej dopravy - MHD, vlaky, prímestské a diaľkové autobusy,</w:t>
            </w:r>
          </w:p>
          <w:p w:rsidR="00927D67" w:rsidRDefault="00927D67" w:rsidP="00927D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preprave s osobami, ktoré nie sú členmi spoločnej domácnosti - taxislužby, lanovky, vozidlá prepravujúce napr. pracovníkov do zamestnania alebo ubytovania.</w:t>
            </w:r>
          </w:p>
          <w:p w:rsidR="00927D67" w:rsidRDefault="00927D6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Rozsah výnimiek zostáva bez zmeny, podrobný zoznam je uvedený vo vyhláške.</w:t>
            </w:r>
          </w:p>
          <w:p w:rsidR="00927D67" w:rsidRDefault="00927D6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  <w:p w:rsidR="00927D67" w:rsidRDefault="00927D67">
            <w:pPr>
              <w:pStyle w:val="Normlnywebov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Úrad verejného zdravotníctva SR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a regionálne úrady verejného zdravotníctva v SR</w:t>
            </w:r>
          </w:p>
        </w:tc>
      </w:tr>
    </w:tbl>
    <w:p w:rsidR="00927D67" w:rsidRDefault="00927D67"/>
    <w:sectPr w:rsidR="00927D67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7EED"/>
    <w:multiLevelType w:val="multilevel"/>
    <w:tmpl w:val="26F4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67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27D67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27D6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2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7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27D6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2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548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432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703209f2ceb063942973a534fbc982df009d306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5105%3Ainformacia-k-zrueniu-hraninej-vyhlaky-a-k-novej-vyhlake-k-prekrytiu-dychacich-ciest&amp;tmpl=component&amp;print=1&amp;layout=default&amp;page=&amp;option=com_content&amp;Itemid=62" TargetMode="External"/><Relationship Id="rId11" Type="http://schemas.openxmlformats.org/officeDocument/2006/relationships/hyperlink" Target="https://www.minv.sk/swift_data/source/verejna_sprava/vestnik_vlady_sr_rok_2022/vyhlaska_3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2022-04-07T08:47:00Z</dcterms:created>
  <dcterms:modified xsi:type="dcterms:W3CDTF">2022-04-07T08:49:00Z</dcterms:modified>
</cp:coreProperties>
</file>