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14" w:rsidRDefault="00583714">
      <w:r>
        <w:fldChar w:fldCharType="begin"/>
      </w:r>
      <w:r>
        <w:instrText xml:space="preserve"> HYPERLINK "</w:instrText>
      </w:r>
      <w:r w:rsidRPr="00583714">
        <w:instrText>https://www.uvzsr.sk/index.php?option=com_content&amp;view=frontpage&amp;Itemid=1</w:instrText>
      </w:r>
      <w:r>
        <w:instrText xml:space="preserve">" </w:instrText>
      </w:r>
      <w:r>
        <w:fldChar w:fldCharType="separate"/>
      </w:r>
      <w:r w:rsidRPr="00486642">
        <w:rPr>
          <w:rStyle w:val="Hypertextovprepojenie"/>
        </w:rPr>
        <w:t>https://www.uvzsr.sk/index.php?option=com_content&amp;view=frontpage&amp;Itemid=1</w:t>
      </w:r>
      <w: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583714" w:rsidRPr="00583714" w:rsidTr="00583714">
        <w:trPr>
          <w:tblCellSpacing w:w="15" w:type="dxa"/>
        </w:trPr>
        <w:tc>
          <w:tcPr>
            <w:tcW w:w="4673" w:type="pct"/>
            <w:vAlign w:val="center"/>
            <w:hideMark/>
          </w:tcPr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583714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231. VYHLÁŠKA Úradu verejného zdravotníctva Slovenskej republiky ku karanténnym povinnostiam osôb po vstupe na územie Slovenskej republiky a dôvodová správa </w:t>
            </w:r>
          </w:p>
        </w:tc>
        <w:tc>
          <w:tcPr>
            <w:tcW w:w="131" w:type="pct"/>
            <w:vAlign w:val="center"/>
            <w:hideMark/>
          </w:tcPr>
          <w:p w:rsidR="00583714" w:rsidRPr="00583714" w:rsidRDefault="00583714" w:rsidP="005837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FC183F8" wp14:editId="1DF0A14E">
                  <wp:extent cx="131445" cy="131445"/>
                  <wp:effectExtent l="0" t="0" r="1905" b="190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vAlign w:val="center"/>
            <w:hideMark/>
          </w:tcPr>
          <w:p w:rsidR="00583714" w:rsidRPr="00583714" w:rsidRDefault="00583714" w:rsidP="005837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3368E981" wp14:editId="5AD2CE3B">
                  <wp:extent cx="131445" cy="131445"/>
                  <wp:effectExtent l="0" t="0" r="1905" b="190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714" w:rsidRPr="00583714" w:rsidRDefault="00583714" w:rsidP="00583714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83714" w:rsidRPr="00583714" w:rsidTr="00583714">
        <w:trPr>
          <w:tblCellSpacing w:w="15" w:type="dxa"/>
        </w:trPr>
        <w:tc>
          <w:tcPr>
            <w:tcW w:w="0" w:type="auto"/>
            <w:hideMark/>
          </w:tcPr>
          <w:p w:rsidR="00583714" w:rsidRPr="00583714" w:rsidRDefault="00583714" w:rsidP="00583714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32"/>
                <w:szCs w:val="32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FF0000"/>
                <w:sz w:val="32"/>
                <w:szCs w:val="32"/>
                <w:lang w:eastAsia="sk-SK"/>
              </w:rPr>
              <w:t xml:space="preserve">Piatok, 16. Júl 2021 15:34 </w:t>
            </w:r>
          </w:p>
        </w:tc>
      </w:tr>
      <w:tr w:rsidR="00583714" w:rsidRPr="00583714" w:rsidTr="00583714">
        <w:trPr>
          <w:tblCellSpacing w:w="15" w:type="dxa"/>
        </w:trPr>
        <w:tc>
          <w:tcPr>
            <w:tcW w:w="0" w:type="auto"/>
            <w:hideMark/>
          </w:tcPr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tgtFrame="_blank" w:history="1">
              <w:r w:rsidRPr="00583714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231/2021 V. v. SR (PDF)</w:t>
              </w:r>
            </w:hyperlink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VYHLÁŠKA Úradu verejného zdravotníctva Slovenskej republiky, ktorou sa nariaďujú opatrenia pri ohrození verejného zdravia ku karanténnym povinnostiam osôb po vstupe na územie Slovenskej republiky, ktorá bola prijatá v nadväznosti na uznesenie Ústavného súdu Slovenskej republiky</w:t>
            </w: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58371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 xml:space="preserve">Dôvodovú správu k novej vyhláške </w:t>
            </w:r>
            <w:hyperlink r:id="rId11" w:tgtFrame="_blank" w:history="1">
              <w:r w:rsidRPr="00583714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v plnom znení tu.</w:t>
              </w:r>
            </w:hyperlink>
          </w:p>
          <w:p w:rsidR="00583714" w:rsidRPr="00583714" w:rsidRDefault="00583714" w:rsidP="0058371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Vyhláška č. 231 je účinná od 19. júla 2021 od 6:00. Dovtedy stále platí režim na hraniciach podľa predchádzajúcej vyhlášky Úradu verejného zdravotníctva SR č. 226.</w:t>
            </w:r>
          </w:p>
          <w:p w:rsidR="00583714" w:rsidRPr="00583714" w:rsidRDefault="00583714" w:rsidP="0058371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Vyhláškou č. 231 sa nastaví približne rovnaký režim na hraniciach, ako je v súčasnosti, so zapracovanými výhradami Ústavného súdu SR, ktoré sa týkali osôb krátko po prvej dávke vakcíny. V praxi nenastane návrat k vyhláške č. 218 (k trojfarebnému cestovateľskému semaforu), ktorej platnosť Ústavný súd SR obnovil, aby predišiel prípadnému právnemu vákuu v pandemickej legislatíve. </w:t>
            </w:r>
          </w:p>
          <w:p w:rsidR="00583714" w:rsidRPr="00583714" w:rsidRDefault="00583714" w:rsidP="0058371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Cieľom novej vyhlášky je predísť významným zmenám na hraniciach pre šírenie infekčnejšieho delta variantu, ktorý je už v mnohých krajinách dominantný, a je potrebné na to v záujme ochrany zdravia ľudí predvídavo reagovať.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bookmarkStart w:id="0" w:name="_GoBack"/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Prehľad zmien oproti Vyhláške ÚVZ SR č. 226</w:t>
            </w:r>
            <w:bookmarkEnd w:id="0"/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: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1. Mení sa definícia plne zaočkovanej osoby. Po nadobudnutí účinnosti novej vyhlášky sa za plne zaočkovanú bude považovať:</w:t>
            </w:r>
          </w:p>
          <w:p w:rsidR="00583714" w:rsidRPr="00583714" w:rsidRDefault="00583714" w:rsidP="0058371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osoba najmenej 14 dní ale nie viac než 12 mesiacov po aplikácii druhej dávky očkovacej látky proti ochoreniu COVID-19 s dvojdávkovou schémou,</w:t>
            </w:r>
          </w:p>
          <w:p w:rsidR="00583714" w:rsidRPr="00583714" w:rsidRDefault="00583714" w:rsidP="0058371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osoba najmenej 21 dní ale nie viac než 12 mesiacov po aplikácii prvej dávky očkovacej látky proti ochoreniu COVID-19 s jednodávkovou schémou,</w:t>
            </w:r>
          </w:p>
          <w:p w:rsidR="00583714" w:rsidRPr="00583714" w:rsidRDefault="00583714" w:rsidP="0058371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osoba najmenej 14 dní a nie viac než 12 mesiacov po aplikácii prvej dávky očkovacej látky proti ochoreniu COVID-19, ak bola prvá dávka očkovania proti ochoreniu COVID-19 podaná v intervale do 180 dní od prekonania ochorenia COVID-19.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Pre ľudí, ktorí sa zaočkovali pred 9. júlom 2021 a po novom nebudú spĺňať definíciu plne zaočkovanej osoby, sa izolácia skončí obdržaním negatívneho výsledku RT-PCR testu na ochorenie COVID-19 (test bude hradený štátom), pričom laboratórnu diagnostiku na ochorenie COVID-19 je možné vykonať už v prvý deň karantény. Toto prechodné ustanovenie bude platiť 14 dní od účinnosti vyhlášky, teda sa bude vzťahovať na osoby, ktoré na územie SR prídu do 2. augusta 2021 do 6:00.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2. Na osoby, ktoré sa zaočkovali po 9. júli 2021, čiže po začiatku účinnosti doterajšej vyhlášky, sa toto prechodné ustanovenie vzťahovať nebude. V ich prípade totiž uplynul príliš krátky čas na to, aby sa im vytvorila aspoň minimálna hladina ochranných protilátok. Pre uvedené osoby platí povinnosť domácej karantény, pričom test proti COVID-19 je možné podstúpiť najskôr na piaty deň. Ak je výsledok testu negatívny, karanténa sa končí.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3. Osoby, ktoré nie sú schopné preukázať sa dokladom o statuse plne zaočkovanej osoby (v slovenskom, českom alebo anglickom jazyku), sa nepovažujú za plne zaočkované a platia pre ne podmienky ako pre nezaočkované osoby.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4. Osoby, ktoré vycestovali do zahraničia bezprostredne po aplikovaní prvej dávky vakcíny, sa môžu bez povinnosti karantény vrátiť na územie SR do 19. júla 2021 do 6:00, kedy nadobudne účinnosť nová vyhláška.</w:t>
            </w:r>
          </w:p>
          <w:p w:rsidR="00583714" w:rsidRPr="00583714" w:rsidRDefault="00583714" w:rsidP="005837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5. Ostatné prechodné ustanovenia (týkajúce sa </w:t>
            </w:r>
            <w:proofErr w:type="spellStart"/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pendlerov</w:t>
            </w:r>
            <w:proofErr w:type="spellEnd"/>
            <w:r w:rsidRPr="00583714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osôb od 12 do 18 rokov) ostávajú v platnosti s pôvodnými termínmi, čiže do 1. septembra, resp. 9. augusta.</w:t>
            </w:r>
          </w:p>
        </w:tc>
      </w:tr>
    </w:tbl>
    <w:p w:rsidR="002B611F" w:rsidRDefault="00583714">
      <w:r w:rsidRPr="00583714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t> </w:t>
      </w:r>
    </w:p>
    <w:sectPr w:rsidR="002B611F" w:rsidSect="005837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C59"/>
    <w:multiLevelType w:val="multilevel"/>
    <w:tmpl w:val="6BAE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47187"/>
    <w:multiLevelType w:val="multilevel"/>
    <w:tmpl w:val="31EA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14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8371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583714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58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583714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583714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58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583714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66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486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39bc9a95d588e0f19f25829a9ab7e42a5afb2bf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4805%3A231-vyhlakanuradu-verejneho-zdravotnictva-slovenskej-republiky-ku-karantennym-povinnostiam-osob-po-vstupe-na-uzemie-slovenskej-republiky-andovodova-sprava&amp;tmpl=component&amp;print=1&amp;layout=default&amp;page=&amp;option=com_content&amp;Itemid=153" TargetMode="External"/><Relationship Id="rId11" Type="http://schemas.openxmlformats.org/officeDocument/2006/relationships/hyperlink" Target="https://www.uvzsr.sk/docs/info/covid19/Dovodova_sprava_vyhlaska_hranice_19-7-20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docs/info/ut/vyhlaska_23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2021-07-19T14:02:00Z</dcterms:created>
  <dcterms:modified xsi:type="dcterms:W3CDTF">2021-07-19T14:04:00Z</dcterms:modified>
</cp:coreProperties>
</file>