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812" w:rsidRDefault="000F6E51">
      <w:r>
        <w:fldChar w:fldCharType="begin"/>
      </w:r>
      <w:r>
        <w:instrText xml:space="preserve"> HYPERLINK "</w:instrText>
      </w:r>
      <w:r w:rsidRPr="000F6E51">
        <w:instrText>https://www.uvzsr.sk/index.php?option=com_content&amp;view=article&amp;id=4869:opatrenia-platne-v-zelenych-oranovych-ervenych-a-bordovych-okresoch&amp;catid=56:tlaove-spravy&amp;Itemid=62</w:instrText>
      </w:r>
      <w:r>
        <w:instrText xml:space="preserve">" </w:instrText>
      </w:r>
      <w:r>
        <w:fldChar w:fldCharType="separate"/>
      </w:r>
      <w:r w:rsidRPr="00490713">
        <w:rPr>
          <w:rStyle w:val="Hypertextovprepojenie"/>
        </w:rPr>
        <w:t>https://www.uvzsr.sk/index.php?option=com_content&amp;view=article&amp;id=4869:opatrenia-platne-v-zelenych-oranovych-erveny</w:t>
      </w:r>
      <w:bookmarkStart w:id="0" w:name="_GoBack"/>
      <w:bookmarkEnd w:id="0"/>
      <w:r w:rsidRPr="00490713">
        <w:rPr>
          <w:rStyle w:val="Hypertextovprepojenie"/>
        </w:rPr>
        <w:t>ch-a-bordovych-okresoch&amp;catid=56:tlaove-spravy&amp;Itemid=62</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4"/>
        <w:gridCol w:w="273"/>
        <w:gridCol w:w="288"/>
      </w:tblGrid>
      <w:tr w:rsidR="000F6E51" w:rsidTr="000F6E51">
        <w:trPr>
          <w:tblCellSpacing w:w="15" w:type="dxa"/>
        </w:trPr>
        <w:tc>
          <w:tcPr>
            <w:tcW w:w="5000" w:type="pct"/>
            <w:vAlign w:val="center"/>
            <w:hideMark/>
          </w:tcPr>
          <w:p w:rsidR="000F6E51" w:rsidRDefault="000F6E51">
            <w:pPr>
              <w:rPr>
                <w:rFonts w:ascii="Helvetica" w:hAnsi="Helvetica" w:cs="Helvetica"/>
                <w:color w:val="669900"/>
                <w:sz w:val="27"/>
                <w:szCs w:val="27"/>
              </w:rPr>
            </w:pPr>
            <w:r>
              <w:rPr>
                <w:rFonts w:ascii="Helvetica" w:hAnsi="Helvetica" w:cs="Helvetica"/>
                <w:color w:val="669900"/>
                <w:sz w:val="27"/>
                <w:szCs w:val="27"/>
              </w:rPr>
              <w:t xml:space="preserve">Opatrenia platné v zelených, oranžových, červených a bordových okresoch </w:t>
            </w:r>
          </w:p>
        </w:tc>
        <w:tc>
          <w:tcPr>
            <w:tcW w:w="5000" w:type="pct"/>
            <w:vAlign w:val="center"/>
            <w:hideMark/>
          </w:tcPr>
          <w:p w:rsidR="000F6E51" w:rsidRDefault="000F6E51">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5255" cy="135255"/>
                  <wp:effectExtent l="0" t="0" r="0" b="0"/>
                  <wp:docPr id="2" name="Obrázok 2" descr="Tlačiť">
                    <a:hlinkClick xmlns:a="http://schemas.openxmlformats.org/drawingml/2006/main" r:id="rId5"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5"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p>
        </w:tc>
        <w:tc>
          <w:tcPr>
            <w:tcW w:w="5000" w:type="pct"/>
            <w:vAlign w:val="center"/>
            <w:hideMark/>
          </w:tcPr>
          <w:p w:rsidR="000F6E51" w:rsidRDefault="000F6E51">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5255" cy="135255"/>
                  <wp:effectExtent l="0" t="0" r="0" b="0"/>
                  <wp:docPr id="1" name="Obrázok 1" descr="E-mail">
                    <a:hlinkClick xmlns:a="http://schemas.openxmlformats.org/drawingml/2006/main" r:id="rId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7"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p>
        </w:tc>
      </w:tr>
    </w:tbl>
    <w:p w:rsidR="000F6E51" w:rsidRDefault="000F6E51" w:rsidP="000F6E51">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0F6E51" w:rsidTr="000F6E51">
        <w:trPr>
          <w:tblCellSpacing w:w="15" w:type="dxa"/>
        </w:trPr>
        <w:tc>
          <w:tcPr>
            <w:tcW w:w="0" w:type="auto"/>
            <w:vAlign w:val="center"/>
            <w:hideMark/>
          </w:tcPr>
          <w:p w:rsidR="000F6E51" w:rsidRDefault="000F6E51">
            <w:pPr>
              <w:rPr>
                <w:rFonts w:ascii="Helvetica" w:hAnsi="Helvetica" w:cs="Helvetica"/>
                <w:color w:val="333333"/>
                <w:sz w:val="18"/>
                <w:szCs w:val="18"/>
              </w:rPr>
            </w:pPr>
            <w:hyperlink r:id="rId9" w:history="1">
              <w:r>
                <w:rPr>
                  <w:rStyle w:val="Hypertextovprepojenie"/>
                  <w:rFonts w:ascii="Helvetica" w:hAnsi="Helvetica" w:cs="Helvetica"/>
                  <w:sz w:val="18"/>
                  <w:szCs w:val="18"/>
                </w:rPr>
                <w:t xml:space="preserve">Tlačové správy </w:t>
              </w:r>
            </w:hyperlink>
          </w:p>
        </w:tc>
      </w:tr>
      <w:tr w:rsidR="000F6E51" w:rsidTr="000F6E51">
        <w:trPr>
          <w:tblCellSpacing w:w="15" w:type="dxa"/>
        </w:trPr>
        <w:tc>
          <w:tcPr>
            <w:tcW w:w="0" w:type="auto"/>
            <w:hideMark/>
          </w:tcPr>
          <w:p w:rsidR="000F6E51" w:rsidRPr="000F6E51" w:rsidRDefault="000F6E51">
            <w:pPr>
              <w:rPr>
                <w:rFonts w:ascii="Arial" w:hAnsi="Arial" w:cs="Arial"/>
                <w:b/>
                <w:color w:val="999999"/>
              </w:rPr>
            </w:pPr>
            <w:r w:rsidRPr="000F6E51">
              <w:rPr>
                <w:rFonts w:ascii="Arial" w:hAnsi="Arial" w:cs="Arial"/>
                <w:b/>
                <w:color w:val="FF0000"/>
              </w:rPr>
              <w:t xml:space="preserve">Piatok, 17. september 2021 18:39 </w:t>
            </w:r>
          </w:p>
        </w:tc>
      </w:tr>
      <w:tr w:rsidR="000F6E51" w:rsidTr="000F6E51">
        <w:trPr>
          <w:tblCellSpacing w:w="15" w:type="dxa"/>
        </w:trPr>
        <w:tc>
          <w:tcPr>
            <w:tcW w:w="0" w:type="auto"/>
            <w:hideMark/>
          </w:tcPr>
          <w:p w:rsidR="000F6E51" w:rsidRDefault="000F6E51">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000000"/>
                <w:sz w:val="20"/>
                <w:szCs w:val="20"/>
              </w:rPr>
              <w:t>Od pondelka 20.9.2021 zostávajú v zelenej fáze už len štyri okresy. V oranžovej farbe ich bude 44, v červenej 27 a tri okresy budú podľa COVID automatu v bordovej farbe. Okres Bardejov prešiel do bordovej fázy od piatka 17. 9. 2021. Aktualizáciu mapy okresov schválila vláda SR. </w:t>
            </w:r>
          </w:p>
          <w:p w:rsidR="000F6E51" w:rsidRDefault="000F6E51">
            <w:pPr>
              <w:pStyle w:val="Normlnywebov"/>
              <w:spacing w:before="0" w:beforeAutospacing="0" w:after="240" w:afterAutospacing="0"/>
              <w:jc w:val="both"/>
              <w:rPr>
                <w:rFonts w:ascii="Helvetica" w:hAnsi="Helvetica" w:cs="Helvetica"/>
                <w:color w:val="333333"/>
                <w:sz w:val="18"/>
                <w:szCs w:val="18"/>
              </w:rPr>
            </w:pPr>
            <w:r>
              <w:rPr>
                <w:rFonts w:ascii="Arial" w:hAnsi="Arial" w:cs="Arial"/>
                <w:b/>
                <w:bCs/>
                <w:color w:val="000000"/>
                <w:sz w:val="20"/>
                <w:szCs w:val="20"/>
              </w:rPr>
              <w:t>Úrad verejného zdravotníctva SR ponúka zosumarizované opatrenia platné pre tieto farby okresov vyplývajúce z vyhlášok.</w:t>
            </w:r>
          </w:p>
          <w:p w:rsidR="000F6E51" w:rsidRDefault="000F6E51">
            <w:pPr>
              <w:pStyle w:val="Normlnywebov"/>
              <w:spacing w:before="0" w:beforeAutospacing="0" w:after="0" w:afterAutospacing="0"/>
              <w:jc w:val="both"/>
              <w:rPr>
                <w:rFonts w:ascii="Helvetica" w:hAnsi="Helvetica" w:cs="Helvetica"/>
                <w:color w:val="333333"/>
                <w:sz w:val="18"/>
                <w:szCs w:val="18"/>
              </w:rPr>
            </w:pPr>
            <w:r>
              <w:rPr>
                <w:rFonts w:ascii="Arial" w:hAnsi="Arial" w:cs="Arial"/>
                <w:b/>
                <w:bCs/>
                <w:i/>
                <w:iCs/>
                <w:color w:val="000000"/>
                <w:sz w:val="20"/>
                <w:szCs w:val="20"/>
              </w:rPr>
              <w:t xml:space="preserve">hlavný hygienik SR Ján </w:t>
            </w:r>
            <w:proofErr w:type="spellStart"/>
            <w:r>
              <w:rPr>
                <w:rFonts w:ascii="Arial" w:hAnsi="Arial" w:cs="Arial"/>
                <w:b/>
                <w:bCs/>
                <w:i/>
                <w:iCs/>
                <w:color w:val="000000"/>
                <w:sz w:val="20"/>
                <w:szCs w:val="20"/>
              </w:rPr>
              <w:t>Mikas</w:t>
            </w:r>
            <w:proofErr w:type="spellEnd"/>
            <w:r>
              <w:rPr>
                <w:rFonts w:ascii="Arial" w:hAnsi="Arial" w:cs="Arial"/>
                <w:b/>
                <w:bCs/>
                <w:i/>
                <w:iCs/>
                <w:color w:val="000000"/>
                <w:sz w:val="20"/>
                <w:szCs w:val="20"/>
              </w:rPr>
              <w:t>: “</w:t>
            </w:r>
            <w:r>
              <w:rPr>
                <w:rFonts w:ascii="Arial" w:hAnsi="Arial" w:cs="Arial"/>
                <w:i/>
                <w:iCs/>
                <w:color w:val="000000"/>
                <w:sz w:val="20"/>
                <w:szCs w:val="20"/>
              </w:rPr>
              <w:t>Opatrenia zohľadňujú epidemiologickú situáciu v jednotlivých okresoch a sú nastavené tak, aby znižovali riziko šírenia nákazy. Toto nie je klišé, ale fakt. Je dôležité, aby sme nastavené opatrenia rešpektovali. Ak ich z princípu ignorujeme alebo obchádzame, hoci aj ako jednotlivci, prispievame k tomu, aby okres, v ktorom žijeme, buď zostal v zlých číslach, alebo sa do nich dostal. Takúto situáciu si nikto z nás neželá.”</w:t>
            </w:r>
          </w:p>
          <w:p w:rsidR="000F6E51" w:rsidRDefault="000F6E51">
            <w:pPr>
              <w:pStyle w:val="Normlnywebov"/>
              <w:spacing w:before="0" w:beforeAutospacing="0" w:after="240" w:afterAutospacing="0"/>
              <w:jc w:val="both"/>
              <w:rPr>
                <w:rFonts w:ascii="Helvetica" w:hAnsi="Helvetica" w:cs="Helvetica"/>
                <w:color w:val="333333"/>
                <w:sz w:val="18"/>
                <w:szCs w:val="18"/>
              </w:rPr>
            </w:pP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V bordovej fáze sú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Od piatka 17. septembra: okres Bardejov</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rPr>
              <w:t>Od pondelka 20. septembra: okresy Krupina, Rožňava, Skalica</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V červenej fáze sú okresy:</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rPr>
              <w:t xml:space="preserve">Bánovce nad Bebravou, Banská Štiavnica, Brezno, Bytča, Gelnica, Košice I.-IV., </w:t>
            </w:r>
            <w:proofErr w:type="spellStart"/>
            <w:r>
              <w:rPr>
                <w:rFonts w:ascii="Arial" w:hAnsi="Arial" w:cs="Arial"/>
                <w:color w:val="000000"/>
                <w:sz w:val="20"/>
                <w:szCs w:val="20"/>
              </w:rPr>
              <w:t>Košice-okolie</w:t>
            </w:r>
            <w:proofErr w:type="spellEnd"/>
            <w:r>
              <w:rPr>
                <w:rFonts w:ascii="Arial" w:hAnsi="Arial" w:cs="Arial"/>
                <w:color w:val="000000"/>
                <w:sz w:val="20"/>
                <w:szCs w:val="20"/>
              </w:rPr>
              <w:t>, Levice, Levoča, Martin, Poprad, Prešov, Revúca, Sabinov, Senica, Snina, Spišská Nová Ves, Stará Ľubovňa, Svidník, Trenčín, Veľký Krtíš, Žarnovica, Žilina, Zvolen</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V oranžovej fáze sú okresy:</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rPr>
              <w:t>Banská Bystrica, Bratislava I.-V., Čadca, Detva, Dolný Kubín, Galanta, Hlohovec, Humenné, Ilava, Kežmarok, Komárno, Kysucké Nové Mesto, Liptovský Mikuláš, Lučenec, Malacky, Michalovce, Myjava, Námestovo, Nitra, Nové Mesto nad Váhom, Nové Zámky, Partizánske, Piešťany, Považská Bystrica, Prievidza, Púchov, Rimavská Sobota, Ružomberok, Šaľa, Senec, Sobrance, Stropkov, Topoľčany, Trebišov, Trnava, Turčianske Teplice, Tvrdošín, Vranov nad Topľou, Žiar nad Hronom, Zlaté Moravce</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V zelenej fáze sú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Dunajská Streda, Medzilaborce, Pezinok, Poltár</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Pr>
                <w:rFonts w:ascii="Arial" w:hAnsi="Arial" w:cs="Arial"/>
                <w:b/>
                <w:bCs/>
                <w:color w:val="333333"/>
                <w:sz w:val="20"/>
                <w:szCs w:val="20"/>
              </w:rPr>
              <w:t>RÚŠKA</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Zelené, oranžové okresy:</w:t>
            </w:r>
            <w:r>
              <w:rPr>
                <w:rFonts w:ascii="Arial" w:hAnsi="Arial" w:cs="Arial"/>
                <w:color w:val="000000"/>
                <w:sz w:val="20"/>
                <w:szCs w:val="20"/>
              </w:rPr>
              <w:t xml:space="preserve"> Prekrytie horných dýchacích ciest respirátorom, rúškom, šálom alebo šatkou je povinné v interiéroch vrátane prostriedkov verejnej dopravy a taxíkov. Povinné je aj na hromadných podujatiach, a to aj v exteriéri.</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Červené okresy:</w:t>
            </w:r>
            <w:r>
              <w:rPr>
                <w:rFonts w:ascii="Arial" w:hAnsi="Arial" w:cs="Arial"/>
                <w:color w:val="000000"/>
                <w:sz w:val="20"/>
                <w:szCs w:val="20"/>
              </w:rPr>
              <w:t xml:space="preserve"> V interiéroch vrátane prostriedkov verejnej dopravy a taxíkov je povinný respirátor. V exteriéri platí povinné prekrytie horných dýchacích ciest respirátorom, rúškom, šálom alebo šatkou na hromadných podujatiach.</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u w:val="single"/>
              </w:rPr>
              <w:t>Bordové okresy:</w:t>
            </w:r>
            <w:r>
              <w:rPr>
                <w:rFonts w:ascii="Arial" w:hAnsi="Arial" w:cs="Arial"/>
                <w:color w:val="000000"/>
                <w:sz w:val="20"/>
                <w:szCs w:val="20"/>
              </w:rPr>
              <w:t xml:space="preserve"> V interiéroch vrátane prostriedkov verejnej dopravy a taxíkov je povinný respirátor. V exteriéri platí povinné prekrytie horných dýchacích ciest, a to buď rúškom, respirátorom, šálom alebo šatkou ak ste od cudzích osôb menej ako dva metre.</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rPr>
              <w:t>Z prekrytia horných dýchacích ciest platia aj výnimky, ktorú sú podrobne uvedené vo vyhláške ÚVZ SR č. 237.</w:t>
            </w:r>
            <w:r>
              <w:rPr>
                <w:rFonts w:ascii="Arial" w:hAnsi="Arial" w:cs="Arial"/>
                <w:color w:val="000000"/>
                <w:sz w:val="20"/>
                <w:szCs w:val="20"/>
              </w:rPr>
              <w:br/>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NÁVŠTEVY V ZDRAVOTNÍCKYCH ZARIADENIACH</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Návštevníkmi budú môcť byť osoby, ktoré spĺňajú definíciu plne zaočkovanej osoby, prekonali ochorenie COVID-19 pred nie viac ako 180 dňami, alebo majú negatívny výsledok testu na ochorenie COVID-19:</w:t>
            </w:r>
          </w:p>
          <w:p w:rsidR="000F6E51" w:rsidRDefault="000F6E51">
            <w:pPr>
              <w:pStyle w:val="Normlnywebov"/>
              <w:spacing w:before="0" w:beforeAutospacing="0" w:after="0" w:afterAutospacing="0"/>
              <w:ind w:firstLine="709"/>
              <w:jc w:val="both"/>
              <w:rPr>
                <w:rFonts w:ascii="Helvetica" w:hAnsi="Helvetica" w:cs="Helvetica"/>
                <w:color w:val="333333"/>
                <w:sz w:val="18"/>
                <w:szCs w:val="18"/>
              </w:rPr>
            </w:pPr>
            <w:r>
              <w:rPr>
                <w:rFonts w:ascii="Arial" w:hAnsi="Arial" w:cs="Arial"/>
                <w:color w:val="000000"/>
                <w:sz w:val="20"/>
                <w:szCs w:val="20"/>
              </w:rPr>
              <w:t>• PCR alebo LAMP test nie starší ako 72 hodín od odberu.</w:t>
            </w:r>
          </w:p>
          <w:p w:rsidR="000F6E51" w:rsidRDefault="000F6E51">
            <w:pPr>
              <w:pStyle w:val="Normlnywebov"/>
              <w:spacing w:before="0" w:beforeAutospacing="0" w:after="0" w:afterAutospacing="0"/>
              <w:ind w:firstLine="709"/>
              <w:jc w:val="both"/>
              <w:rPr>
                <w:rFonts w:ascii="Helvetica" w:hAnsi="Helvetica" w:cs="Helvetica"/>
                <w:color w:val="333333"/>
                <w:sz w:val="18"/>
                <w:szCs w:val="18"/>
              </w:rPr>
            </w:pPr>
            <w:r>
              <w:rPr>
                <w:rFonts w:ascii="Arial" w:hAnsi="Arial" w:cs="Arial"/>
                <w:color w:val="000000"/>
                <w:sz w:val="20"/>
                <w:szCs w:val="20"/>
              </w:rPr>
              <w:t>• Antigénový test nie starší ako 24 hodín od odberu.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Netýka sa to osôb, ktoré privážajú či sprevádzajú pacientov na vyšetrenie alebo hospitalizáciu, len osôb, ktoré prichádzajú navštíviť hospitalizované osoby.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 </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rPr>
              <w:t>Regionálne úrady verejného zdravotníctva môžu vo svojej územnej pôsobnosti nariadiť aj miernejšie alebo prísnejšie opatrenia.</w:t>
            </w:r>
            <w:r>
              <w:rPr>
                <w:rFonts w:ascii="Arial" w:hAnsi="Arial" w:cs="Arial"/>
                <w:color w:val="000000"/>
                <w:sz w:val="20"/>
                <w:szCs w:val="20"/>
              </w:rPr>
              <w:br/>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PREVÁDZKY A PODUJATIA</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rPr>
              <w:t>Prevádzky a organizátori hromadných podujatí si môžu vybrať, v akom režime budú fungovať:</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Prístup pre všetky osoby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Prístup pre očkovaných, testovaných, a po prekonaní COVID-19, pričom negatívny výsledok má byť z</w:t>
            </w:r>
          </w:p>
          <w:p w:rsidR="000F6E51" w:rsidRDefault="000F6E51">
            <w:pPr>
              <w:pStyle w:val="Normlnywebov"/>
              <w:spacing w:before="0" w:beforeAutospacing="0" w:after="0" w:afterAutospacing="0"/>
              <w:ind w:firstLine="709"/>
              <w:jc w:val="both"/>
              <w:rPr>
                <w:rFonts w:ascii="Helvetica" w:hAnsi="Helvetica" w:cs="Helvetica"/>
                <w:color w:val="333333"/>
                <w:sz w:val="18"/>
                <w:szCs w:val="18"/>
              </w:rPr>
            </w:pPr>
            <w:r>
              <w:rPr>
                <w:rFonts w:ascii="Arial" w:hAnsi="Arial" w:cs="Arial"/>
                <w:color w:val="000000"/>
                <w:sz w:val="20"/>
                <w:szCs w:val="20"/>
              </w:rPr>
              <w:t>- PCR alebo LAMP testu nie starší ako 72 hodín od odberu</w:t>
            </w:r>
          </w:p>
          <w:p w:rsidR="000F6E51" w:rsidRDefault="000F6E51">
            <w:pPr>
              <w:pStyle w:val="Normlnywebov"/>
              <w:spacing w:before="0" w:beforeAutospacing="0" w:after="0" w:afterAutospacing="0"/>
              <w:ind w:firstLine="709"/>
              <w:jc w:val="both"/>
              <w:rPr>
                <w:rFonts w:ascii="Helvetica" w:hAnsi="Helvetica" w:cs="Helvetica"/>
                <w:color w:val="333333"/>
                <w:sz w:val="18"/>
                <w:szCs w:val="18"/>
              </w:rPr>
            </w:pPr>
            <w:r>
              <w:rPr>
                <w:rFonts w:ascii="Arial" w:hAnsi="Arial" w:cs="Arial"/>
                <w:color w:val="000000"/>
                <w:sz w:val="20"/>
                <w:szCs w:val="20"/>
              </w:rPr>
              <w:t>- antigénového testu nie starší ako 48 hodín od odberu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Očkovaní:</w:t>
            </w:r>
            <w:r>
              <w:rPr>
                <w:rFonts w:ascii="Arial" w:hAnsi="Arial" w:cs="Arial"/>
                <w:color w:val="000000"/>
                <w:sz w:val="20"/>
                <w:szCs w:val="20"/>
              </w:rPr>
              <w:t xml:space="preserve"> pre plne zaočkovaných, teda:</w:t>
            </w:r>
          </w:p>
          <w:p w:rsidR="000F6E51" w:rsidRDefault="000F6E51">
            <w:pPr>
              <w:pStyle w:val="Normlnywebov"/>
              <w:spacing w:before="0" w:beforeAutospacing="0" w:after="0" w:afterAutospacing="0"/>
              <w:ind w:firstLine="709"/>
              <w:jc w:val="both"/>
              <w:rPr>
                <w:rFonts w:ascii="Helvetica" w:hAnsi="Helvetica" w:cs="Helvetica"/>
                <w:color w:val="333333"/>
                <w:sz w:val="18"/>
                <w:szCs w:val="18"/>
              </w:rPr>
            </w:pPr>
            <w:r>
              <w:rPr>
                <w:rFonts w:ascii="Arial" w:hAnsi="Arial" w:cs="Arial"/>
                <w:color w:val="000000"/>
                <w:sz w:val="20"/>
                <w:szCs w:val="20"/>
              </w:rPr>
              <w:t>- 14 dní po podaní druhej dávky dvojdávkovej vakcíny</w:t>
            </w:r>
          </w:p>
          <w:p w:rsidR="000F6E51" w:rsidRDefault="000F6E51">
            <w:pPr>
              <w:pStyle w:val="Normlnywebov"/>
              <w:spacing w:before="0" w:beforeAutospacing="0" w:after="0" w:afterAutospacing="0"/>
              <w:ind w:firstLine="709"/>
              <w:jc w:val="both"/>
              <w:rPr>
                <w:rFonts w:ascii="Helvetica" w:hAnsi="Helvetica" w:cs="Helvetica"/>
                <w:color w:val="333333"/>
                <w:sz w:val="18"/>
                <w:szCs w:val="18"/>
              </w:rPr>
            </w:pPr>
            <w:r>
              <w:rPr>
                <w:rFonts w:ascii="Arial" w:hAnsi="Arial" w:cs="Arial"/>
                <w:color w:val="000000"/>
                <w:sz w:val="20"/>
                <w:szCs w:val="20"/>
              </w:rPr>
              <w:t>- 21 dní po zaočkovaní jednodávkovou vakcínou</w:t>
            </w:r>
          </w:p>
          <w:p w:rsidR="000F6E51" w:rsidRDefault="000F6E51">
            <w:pPr>
              <w:pStyle w:val="Normlnywebov"/>
              <w:spacing w:before="0" w:beforeAutospacing="0" w:after="0" w:afterAutospacing="0"/>
              <w:ind w:firstLine="709"/>
              <w:jc w:val="both"/>
              <w:rPr>
                <w:rFonts w:ascii="Helvetica" w:hAnsi="Helvetica" w:cs="Helvetica"/>
                <w:color w:val="333333"/>
                <w:sz w:val="18"/>
                <w:szCs w:val="18"/>
              </w:rPr>
            </w:pPr>
            <w:r>
              <w:rPr>
                <w:rFonts w:ascii="Arial" w:hAnsi="Arial" w:cs="Arial"/>
                <w:color w:val="000000"/>
                <w:sz w:val="20"/>
                <w:szCs w:val="20"/>
              </w:rPr>
              <w:t>- 14 dní po prvej dávke ktorejkoľvek vakcíny, ak bola osoba zaočkovaná do 180 dní od prekonania COVID-19.</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rPr>
              <w:br/>
              <w:t>Ak prevádzkovateľ funguje v režime “základ” v bordových okresoch, musí v dňoch pondelok až piatok v čase od 9:00 do 11:00 zaviesť tzv. seniorské hodiny - teda umožniť vstup iba osobám nad 65 rokov alebo zdravotne postihnutým osobám a ich sprievodu, na základe preukazu ŤZP.</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rPr>
              <w:t>Režim, v ktorom prevádzka funguje, musí viditeľne vyznačiť vo svojich priestoroch. Organizátor hromadného podujatia rovnako musí pri vstupe viditeľne označiť, ktorým osobám umožní vstup. Posudzujú sa len osoby staršie ako 12 rokov.</w:t>
            </w:r>
            <w:r>
              <w:rPr>
                <w:rFonts w:ascii="Arial" w:hAnsi="Arial" w:cs="Arial"/>
                <w:color w:val="000000"/>
                <w:sz w:val="20"/>
                <w:szCs w:val="20"/>
              </w:rPr>
              <w:br/>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HROMADNÉ PODUJATIA</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Zelené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státie najviac 50 % kapacity, sedenie najviac 75 %; ak nie je možné určiť kapacitu, najviac 5000 osôb v exteriéri, 2500 v interiéri</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státie najviac 50 % kapacity, sedenie najviac 75 %; avšak najviac 1000 osôb v exteriéri a 500 v interiéri</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Oranžové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v interiéri najviac 25 % kapacity, v exteriéri najviac 50 % kapacity; ak nie je možné určiť kapacitu, najviac 1000 osôb v exteriéri, 500 v interiéri</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státie - exteriér max 100 osôb, státie - interiér max 50 osôb, sedenie - exteriér max 50 % kapacity priestoru na sedenie (avšak do 200 osôb), sedenie - interiér max. 25 % kapacity priestoru na sedenie (avšak do 100 osôb). Organizátor je povinný uchovávať zoznam a kontakty na účastníkov 14 dní po skončení podujatia, po 14 dňoch je povinný ich zničiť.</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Červené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bez kapacitného limitu (povinný zoznam účastníkov) </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25 % kapacity, pokiaľ nie je kapacita určiteľná, max. 150 osôb </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u w:val="single"/>
              </w:rPr>
              <w:lastRenderedPageBreak/>
              <w:t>Základ:</w:t>
            </w:r>
            <w:r>
              <w:rPr>
                <w:rFonts w:ascii="Arial" w:hAnsi="Arial" w:cs="Arial"/>
                <w:color w:val="000000"/>
                <w:sz w:val="20"/>
                <w:szCs w:val="20"/>
              </w:rPr>
              <w:t xml:space="preserve"> max. 10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Bordové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bez kapacitného limitu (povinný zoznam účastníkov) </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25 % kapacity, pokiaľ nie je kapacita určiteľná, max. 50 osôb</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max. 6 osôb</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rPr>
              <w:t>Podujatia (s výnimkou svadieb, večierkov, osláv a iných obdobných podujatí alebo podujatí v prevádzkach verejného stravovania), kde sú zaočkovaní všetci účastníci, sú bez kapacitného limitu. Ak je účasť vyššia ako 1000 osôb, treba toto podujatie ohlásiť najneskôr 48 hodín pred začiatkom miestne príslušnému regionálnemu úradu verejného zdravotníctva.</w:t>
            </w:r>
            <w:r>
              <w:rPr>
                <w:rFonts w:ascii="Arial" w:hAnsi="Arial" w:cs="Arial"/>
                <w:color w:val="000000"/>
                <w:sz w:val="20"/>
                <w:szCs w:val="20"/>
              </w:rPr>
              <w:br/>
            </w:r>
            <w:r>
              <w:rPr>
                <w:rFonts w:ascii="Arial" w:hAnsi="Arial" w:cs="Arial"/>
                <w:color w:val="000000"/>
                <w:sz w:val="20"/>
                <w:szCs w:val="20"/>
              </w:rPr>
              <w:br/>
            </w:r>
            <w:r>
              <w:rPr>
                <w:rFonts w:ascii="Arial" w:hAnsi="Arial" w:cs="Arial"/>
                <w:color w:val="333333"/>
                <w:sz w:val="20"/>
                <w:szCs w:val="20"/>
              </w:rPr>
              <w:t>Ak sa podujatie koná v exteriéri, organizátor ho musí ohradiť a vyznačiť jeho vstup a výstup.</w:t>
            </w:r>
            <w:r>
              <w:rPr>
                <w:rFonts w:ascii="Arial" w:hAnsi="Arial" w:cs="Arial"/>
                <w:color w:val="333333"/>
                <w:sz w:val="20"/>
                <w:szCs w:val="20"/>
              </w:rPr>
              <w:br/>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ŠPORTOVÉ PODUJATIA - SÚŤAŽE, LIMITY PRE ŠPORTOVCOV</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Zelené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bez kapacitného limitu</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maximálne 100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Oranžové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Najviac 200 osôb v interiéri alebo 400 v exteriéri</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maximálne 50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Červené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interiér 75 osôb na jeden sektor, exteriér 150 osôb na jeden sektor</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10 osôb na sektor</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Bordové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50 osôb na sektor</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6 osôb na sektor</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rPr>
              <w:t>Divácka kapacita na športových podujatiach sa riadi všeobecnými pravidlami pre hromadné podujatia.</w:t>
            </w:r>
            <w:r>
              <w:rPr>
                <w:rFonts w:ascii="Arial" w:hAnsi="Arial" w:cs="Arial"/>
                <w:color w:val="000000"/>
                <w:sz w:val="20"/>
                <w:szCs w:val="20"/>
              </w:rPr>
              <w:br/>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KULTÚRNE PODUJATIA:</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Zelené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Zaočkovaní: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OTP: najviac 2500 v interiéri alebo 5000 v exteriéri</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rPr>
              <w:t>Základ: Najviac 500 v interiéri alebo 1000 v exteriéri</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Oranžové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Zaočkovaní: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OTP: Najviac 50 % kapacity priestoru, maximálne 500 osôb v interiéri alebo 1000 v exteriéri</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rPr>
              <w:t>Základ: v prípade sedenia najviac 50 % kapacity priestoru, maximálne 250 sediacich osôb v interiéri alebo 500 v exteriéri; v prípade státia najviac 50 % kapacity priestoru, maximálne 50 osôb stojacich v interiéri alebo 100 v exteriéri</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Červené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50 % kapacity, avšak do 250 osôb v interiéri a do 500 osôb v exteriéri</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50 % kapacity, avšak do 50 sediacich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Bordové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50 % kapacity, avšak do 150 osôb v interiéri a do 200 osôb v exteriéri</w:t>
            </w:r>
          </w:p>
          <w:p w:rsidR="000F6E51" w:rsidRDefault="000F6E51">
            <w:pPr>
              <w:pStyle w:val="Normlnywebov"/>
              <w:spacing w:before="0" w:beforeAutospacing="0" w:after="240" w:afterAutospacing="0"/>
              <w:rPr>
                <w:rFonts w:ascii="Helvetica" w:hAnsi="Helvetica" w:cs="Helvetica"/>
                <w:color w:val="333333"/>
                <w:sz w:val="18"/>
                <w:szCs w:val="18"/>
              </w:rPr>
            </w:pPr>
            <w:r>
              <w:rPr>
                <w:rFonts w:ascii="Arial" w:hAnsi="Arial" w:cs="Arial"/>
                <w:color w:val="000000"/>
                <w:sz w:val="20"/>
                <w:szCs w:val="20"/>
                <w:u w:val="single"/>
              </w:rPr>
              <w:lastRenderedPageBreak/>
              <w:t>Základ:</w:t>
            </w:r>
            <w:r>
              <w:rPr>
                <w:rFonts w:ascii="Arial" w:hAnsi="Arial" w:cs="Arial"/>
                <w:color w:val="000000"/>
                <w:sz w:val="20"/>
                <w:szCs w:val="20"/>
              </w:rPr>
              <w:t>  nesmú sa konať</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Podrobnejšie informácie na </w:t>
            </w:r>
            <w:hyperlink r:id="rId10" w:tgtFrame="_blank" w:history="1">
              <w:r>
                <w:rPr>
                  <w:rStyle w:val="Hypertextovprepojenie"/>
                  <w:rFonts w:ascii="Arial" w:hAnsi="Arial" w:cs="Arial"/>
                  <w:color w:val="1155CC"/>
                  <w:sz w:val="20"/>
                  <w:szCs w:val="20"/>
                </w:rPr>
                <w:t>https://kulturnysemafor.sk</w:t>
              </w:r>
              <w:r>
                <w:rPr>
                  <w:rFonts w:ascii="Arial" w:hAnsi="Arial" w:cs="Arial"/>
                  <w:color w:val="1155CC"/>
                  <w:sz w:val="20"/>
                  <w:szCs w:val="20"/>
                </w:rPr>
                <w:br/>
              </w:r>
              <w:r>
                <w:rPr>
                  <w:rFonts w:ascii="Arial" w:hAnsi="Arial" w:cs="Arial"/>
                  <w:color w:val="1155CC"/>
                  <w:sz w:val="20"/>
                  <w:szCs w:val="20"/>
                </w:rPr>
                <w:br/>
              </w:r>
            </w:hyperlink>
            <w:r>
              <w:rPr>
                <w:rFonts w:ascii="Arial" w:hAnsi="Arial" w:cs="Arial"/>
                <w:b/>
                <w:bCs/>
                <w:color w:val="333333"/>
                <w:sz w:val="20"/>
                <w:szCs w:val="20"/>
              </w:rPr>
              <w:br/>
            </w:r>
            <w:r>
              <w:rPr>
                <w:rStyle w:val="Siln"/>
                <w:rFonts w:ascii="Arial" w:hAnsi="Arial" w:cs="Arial"/>
                <w:color w:val="333333"/>
                <w:sz w:val="20"/>
                <w:szCs w:val="20"/>
              </w:rPr>
              <w:t>BOHOSLUŽBY</w:t>
            </w:r>
            <w:r>
              <w:rPr>
                <w:rFonts w:ascii="Arial" w:hAnsi="Arial" w:cs="Arial"/>
                <w:b/>
                <w:bCs/>
                <w:color w:val="333333"/>
                <w:sz w:val="20"/>
                <w:szCs w:val="20"/>
              </w:rPr>
              <w:br/>
            </w:r>
            <w:r>
              <w:rPr>
                <w:rFonts w:ascii="Arial" w:hAnsi="Arial" w:cs="Arial"/>
                <w:b/>
                <w:bCs/>
                <w:color w:val="333333"/>
                <w:sz w:val="20"/>
                <w:szCs w:val="20"/>
                <w:u w:val="single"/>
              </w:rPr>
              <w:t>Zelené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maximálne 50% kapacity priestoru na státie, alebo 75% kapacity priestoru na sedenie, pokiaľ nie je určiteľná kapacita do 2500 osôb v interiéri alebo 5000 osôb pre exteriér.</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státie max. 50 % kapacity priestoru na státie, sedenie max. 75 % kapacity priestoru na sedenie, maximálne však do 500 osôb v interiéri alebo 1000 osôb v exteriéri.</w:t>
            </w:r>
            <w:r>
              <w:rPr>
                <w:rFonts w:ascii="Arial" w:hAnsi="Arial" w:cs="Arial"/>
                <w:color w:val="000000"/>
                <w:sz w:val="20"/>
                <w:szCs w:val="20"/>
              </w:rPr>
              <w:br/>
            </w:r>
            <w:r>
              <w:rPr>
                <w:rFonts w:ascii="Arial" w:hAnsi="Arial" w:cs="Arial"/>
                <w:b/>
                <w:bCs/>
                <w:color w:val="000000"/>
                <w:sz w:val="20"/>
                <w:szCs w:val="20"/>
                <w:u w:val="single"/>
              </w:rPr>
              <w:br/>
              <w:t>Oranžové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interiér max. 25 % kapacity priestoru, exteriér max. 50 % kapacity priestoru; pokiaľ nie je určiteľná kapacita, interiér do 500 osôb, exteriér pre 1000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státie - exteriér max. 100 osôb, státie - interiér max. 50 osôb; sedenie - exteriér max. 50 % kapacity priestoru na sedenie (avšak do 200 osôb), sedenie - interiér max 25 % kapacity priestoru na sedenie (avšak do 100 osôb).</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333333"/>
                <w:sz w:val="20"/>
                <w:szCs w:val="20"/>
                <w:u w:val="single"/>
              </w:rPr>
              <w:t>Červené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max. 25 % kapacity priestoru (ak nie je určiteľná kapacita, max. 150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1 osoba / 15 m2 kapacity priestoru (ak je podlahová plocha menšia ako 150 m2, tak max. 10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t>Bordové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maximálne 25 % kapacity priestorov, najviac 50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1 osoba / 15 m2 kapacity priestoru (ak je podlahová plocha menšia ako 90 m2, tak max. 6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r>
            <w:r>
              <w:rPr>
                <w:rFonts w:ascii="Arial" w:hAnsi="Arial" w:cs="Arial"/>
                <w:b/>
                <w:bCs/>
                <w:color w:val="000000"/>
                <w:sz w:val="20"/>
                <w:szCs w:val="20"/>
              </w:rPr>
              <w:br/>
              <w:t>OBRAD SOBÁŠA ALEBO KRSTU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Zelené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státie najviac 50 % kapacity, sedenie najviac 75 % v exteriéri aj interiéri; ak nie je možné určiť kapacitu, najviac 5000 osôb v exteriéri, 2500 v interiéri</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státie najviac 50 % kapacity, sedenie najviac 75 % v exteriéri aj interiéri; avšak najviac 1000 osôb v exteriéri a 500 v interiéri</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r>
            <w:r>
              <w:rPr>
                <w:rFonts w:ascii="Arial" w:hAnsi="Arial" w:cs="Arial"/>
                <w:b/>
                <w:bCs/>
                <w:color w:val="000000"/>
                <w:sz w:val="20"/>
                <w:szCs w:val="20"/>
                <w:u w:val="single"/>
              </w:rPr>
              <w:t>Oranžové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interiér max. 25 % kapacity priestoru, exteriér max. 50 % kapacity priestoru; pokiaľ nie je určiteľná kapacita, interiér do 500 osôb, exteriér pre 1000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sedenie najviac 25 % kapacity (najviac 100 osôb) v interiéri a 50 % (najviac 200 osôb) v exteriéri, státie najviac 50 v interiéri a 100 v exteriéri. Organizátor je povinný uchovávať zoznam a kontakty na účastníkov 14 dní po skončení podujatia, po 14 dňoch je povinný ich zničiť.</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 </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Červené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maximálne 25 % kapacity priestorov hromadného podujatia, ak nie je možné určiť kapacitu, najviac 150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1 osoba na 15 m2 podlahovej plochy priestoru; pokiaľ je podlahová plocha menšia ako 150 m2, v priestore sa v jednom okamihu môže nachádzať najviac 10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br/>
              <w:t>Bordové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bez kapacitného limitu (povinný zoznam účastníkov) </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25 % kapacity, pokiaľ nie je kapacita určiteľná, max. 50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lastRenderedPageBreak/>
              <w:t>Základ:</w:t>
            </w:r>
            <w:r>
              <w:rPr>
                <w:rFonts w:ascii="Arial" w:hAnsi="Arial" w:cs="Arial"/>
                <w:color w:val="000000"/>
                <w:sz w:val="20"/>
                <w:szCs w:val="20"/>
              </w:rPr>
              <w:t xml:space="preserve"> max. 6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r>
            <w:r>
              <w:rPr>
                <w:rFonts w:ascii="Arial" w:hAnsi="Arial" w:cs="Arial"/>
                <w:b/>
                <w:bCs/>
                <w:color w:val="000000"/>
                <w:sz w:val="20"/>
                <w:szCs w:val="20"/>
              </w:rPr>
              <w:br/>
              <w:t>SVADBY, KARY, OSLAVY, VEČIERKY A INÉ OBDOBNÉ PODUJATIA ALEBO PODUJATIA V PREVÁDZKACH VEREJNÉHO STRAVOVANIA</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Zelené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najviac 400 osôb v interiéri alebo 800 osôb v exteriéri (povinný zoznam účastníkov)</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najviac 200 osôb v interiéri alebo 400 v exteriéri (povinný zoznam účastníkov)</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nesmú sa konať</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br/>
              <w:t>Oranžové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najviac 100 osôb v interiéri alebo 200 osôb v exteriéri (povinný zoznam účastníkov)</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najviac 50 osôb v interiéri alebo 100 v exteriéri (povinný zoznam účastníkov)</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nesmú sa konať</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br/>
              <w:t>Červené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interiér max. 50 osôb, exteriér max. 80 osôb </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interiér max. 25 osôb, exteriér max. 40 osôb </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nesmú sa konať</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t>Bordové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max. 20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nesmú sa konať</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nesmú sa konať</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r>
            <w:r>
              <w:rPr>
                <w:rFonts w:ascii="Arial" w:hAnsi="Arial" w:cs="Arial"/>
                <w:b/>
                <w:bCs/>
                <w:color w:val="000000"/>
                <w:sz w:val="20"/>
                <w:szCs w:val="20"/>
              </w:rPr>
              <w:br/>
              <w:t>TAXISLUŽBY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Zelené okresy:</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Oranžové okresy:</w:t>
            </w:r>
            <w:r>
              <w:rPr>
                <w:rFonts w:ascii="Arial" w:hAnsi="Arial" w:cs="Arial"/>
                <w:color w:val="000000"/>
                <w:sz w:val="20"/>
                <w:szCs w:val="20"/>
              </w:rPr>
              <w:t xml:space="preserve"> najviac dve osoby v jednom rade - vrátane vodiča</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Červené a bordové okresy:</w:t>
            </w:r>
            <w:r>
              <w:rPr>
                <w:rFonts w:ascii="Arial" w:hAnsi="Arial" w:cs="Arial"/>
                <w:color w:val="000000"/>
                <w:sz w:val="20"/>
                <w:szCs w:val="20"/>
              </w:rPr>
              <w:t xml:space="preserve"> najviac dve osoby v jednom rade - vrátane vodiča; po každom zákazníkovi dezinfekcia priestorov pre zákazníkov (dezinfekčným prostriedkom s </w:t>
            </w:r>
            <w:proofErr w:type="spellStart"/>
            <w:r>
              <w:rPr>
                <w:rFonts w:ascii="Arial" w:hAnsi="Arial" w:cs="Arial"/>
                <w:color w:val="000000"/>
                <w:sz w:val="20"/>
                <w:szCs w:val="20"/>
              </w:rPr>
              <w:t>virucídnym</w:t>
            </w:r>
            <w:proofErr w:type="spellEnd"/>
            <w:r>
              <w:rPr>
                <w:rFonts w:ascii="Arial" w:hAnsi="Arial" w:cs="Arial"/>
                <w:color w:val="000000"/>
                <w:sz w:val="20"/>
                <w:szCs w:val="20"/>
              </w:rPr>
              <w:t xml:space="preserve"> účinkom).</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r>
            <w:r>
              <w:rPr>
                <w:rFonts w:ascii="Arial" w:hAnsi="Arial" w:cs="Arial"/>
                <w:b/>
                <w:bCs/>
                <w:color w:val="000000"/>
                <w:sz w:val="20"/>
                <w:szCs w:val="20"/>
              </w:rPr>
              <w:br/>
              <w:t>UMELÉ KÚPALISKÁ</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Zelené okresy:</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Oranžové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najviac 50 % kapacity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najviac 10 osôb</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333333"/>
                <w:sz w:val="20"/>
                <w:szCs w:val="20"/>
              </w:rPr>
              <w:t>Červené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50 % kapacity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25 % kapacity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zakázané</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Bordové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25 % kapacity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najviac 10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zakázané</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Prevádzky poskytujúce služby za účelom tréningu športových klubov majú osobitné pravidlá popísané vo vyhláške.</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 </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VLEKY A LANOVKY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Vleky, teda nie uzatvorené kabínky, sú pre plne zaočkované osoby alebo osoby v režime OTP v prevádzke vo všetkých farbách COVID semaforu.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Kapacitné obmedzenia sa týkajú iba kabínkových lanoviek:</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lastRenderedPageBreak/>
              <w:br/>
              <w:t>Zelené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Oranžové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bez kapacitných obmedzení</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bez kapacitných obmedzení</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kabínkové lanovky zakázané</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Červené a bordové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50 % kapacity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kabínkové lanovky zakázané </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kabínkové lanovky zakázané</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OBCHODNÉ DOMY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Zelené okresy:</w:t>
            </w:r>
            <w:r>
              <w:rPr>
                <w:rFonts w:ascii="Arial" w:hAnsi="Arial" w:cs="Arial"/>
                <w:color w:val="000000"/>
                <w:sz w:val="20"/>
                <w:szCs w:val="20"/>
              </w:rPr>
              <w:t xml:space="preserve"> bez kapacitného limitu, otvorené sedacie sekcie a detské kútiky.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Oranžové okresy:</w:t>
            </w:r>
            <w:r>
              <w:rPr>
                <w:rFonts w:ascii="Arial" w:hAnsi="Arial" w:cs="Arial"/>
                <w:color w:val="000000"/>
                <w:sz w:val="20"/>
                <w:szCs w:val="20"/>
              </w:rPr>
              <w:t xml:space="preserve"> najviac 1 osoba na 15 metrov štvorcových, otvorené sedacie sekcie a detské kútiky.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Červené a bordové okresy:</w:t>
            </w:r>
            <w:r>
              <w:rPr>
                <w:rFonts w:ascii="Arial" w:hAnsi="Arial" w:cs="Arial"/>
                <w:color w:val="000000"/>
                <w:sz w:val="20"/>
                <w:szCs w:val="20"/>
              </w:rPr>
              <w:t xml:space="preserve"> najviac 1 osoba na 15 metrov štvorcových, zatvorené sedacie sekcie a detské kútiky.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r>
            <w:r>
              <w:rPr>
                <w:rFonts w:ascii="Arial" w:hAnsi="Arial" w:cs="Arial"/>
                <w:b/>
                <w:bCs/>
                <w:color w:val="000000"/>
                <w:sz w:val="20"/>
                <w:szCs w:val="20"/>
              </w:rPr>
              <w:br/>
              <w:t>HOTELY A PODOBNÉ UBYTOVACIE SLUŽBY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Zelené okresy:</w:t>
            </w:r>
            <w:r>
              <w:rPr>
                <w:rFonts w:ascii="Arial" w:hAnsi="Arial" w:cs="Arial"/>
                <w:color w:val="000000"/>
                <w:sz w:val="20"/>
                <w:szCs w:val="20"/>
              </w:rPr>
              <w:t xml:space="preserve"> ubytovanie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br/>
              <w:t>Oranžové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ubytovanie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ubytovanie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ubytovanie zakázané</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br/>
              <w:t>Červené a bordové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ubytovanie bez kapacitných obmedzení</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2 dospelé osoby na izbe alebo členovia jednej domácnosti na samostatnej izbe</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ubytovanie zakázané</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r>
            <w:r>
              <w:rPr>
                <w:rFonts w:ascii="Arial" w:hAnsi="Arial" w:cs="Arial"/>
                <w:b/>
                <w:bCs/>
                <w:color w:val="000000"/>
                <w:sz w:val="20"/>
                <w:szCs w:val="20"/>
              </w:rPr>
              <w:br/>
              <w:t>REŠTAURÁCIE A OSTATNÉ ZARIADENIA VEREJNÉHO STRAVOVANIA</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Zelené okresy:</w:t>
            </w:r>
            <w:r>
              <w:rPr>
                <w:rFonts w:ascii="Arial" w:hAnsi="Arial" w:cs="Arial"/>
                <w:color w:val="000000"/>
                <w:sz w:val="20"/>
                <w:szCs w:val="20"/>
              </w:rPr>
              <w:t xml:space="preserve">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br/>
              <w:t>Oranžové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exteriér bez kapacitného limitu, v interiéri obsadenie jedného stolu najviac 4 osoby, alebo osoby z jednej domácnosti; dvojmetrové </w:t>
            </w:r>
            <w:proofErr w:type="spellStart"/>
            <w:r>
              <w:rPr>
                <w:rFonts w:ascii="Arial" w:hAnsi="Arial" w:cs="Arial"/>
                <w:color w:val="000000"/>
                <w:sz w:val="20"/>
                <w:szCs w:val="20"/>
              </w:rPr>
              <w:t>rozostupy</w:t>
            </w:r>
            <w:proofErr w:type="spellEnd"/>
            <w:r>
              <w:rPr>
                <w:rFonts w:ascii="Arial" w:hAnsi="Arial" w:cs="Arial"/>
                <w:color w:val="000000"/>
                <w:sz w:val="20"/>
                <w:szCs w:val="20"/>
              </w:rPr>
              <w:t xml:space="preserve"> medzi stolmi</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exteriér bez kapacitného limitu, v interiéri obsadenie jedného stolu najviac 4 osoby, alebo osoby z jednej domácnosti; dvojmetrové </w:t>
            </w:r>
            <w:proofErr w:type="spellStart"/>
            <w:r>
              <w:rPr>
                <w:rFonts w:ascii="Arial" w:hAnsi="Arial" w:cs="Arial"/>
                <w:color w:val="000000"/>
                <w:sz w:val="20"/>
                <w:szCs w:val="20"/>
              </w:rPr>
              <w:t>rozostupy</w:t>
            </w:r>
            <w:proofErr w:type="spellEnd"/>
            <w:r>
              <w:rPr>
                <w:rFonts w:ascii="Arial" w:hAnsi="Arial" w:cs="Arial"/>
                <w:color w:val="000000"/>
                <w:sz w:val="20"/>
                <w:szCs w:val="20"/>
              </w:rPr>
              <w:t xml:space="preserve"> medzi stolmi</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vstup len do exteriéru, na terase max 10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br/>
              <w:t>Červené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exteriér bez kapacitných obmedzení, interiér 4 osoby pri jednom stole alebo osoby z jednej domácnosti; </w:t>
            </w:r>
            <w:proofErr w:type="spellStart"/>
            <w:r>
              <w:rPr>
                <w:rFonts w:ascii="Arial" w:hAnsi="Arial" w:cs="Arial"/>
                <w:color w:val="000000"/>
                <w:sz w:val="20"/>
                <w:szCs w:val="20"/>
              </w:rPr>
              <w:t>rozostup</w:t>
            </w:r>
            <w:proofErr w:type="spellEnd"/>
            <w:r>
              <w:rPr>
                <w:rFonts w:ascii="Arial" w:hAnsi="Arial" w:cs="Arial"/>
                <w:color w:val="000000"/>
                <w:sz w:val="20"/>
                <w:szCs w:val="20"/>
              </w:rPr>
              <w:t xml:space="preserve"> stolov najmenej 2 metre </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exteriér bez kapacitných obmedzení, interiér 4 osoby pri jednom stole alebo osoby z jednej domácnosti; </w:t>
            </w:r>
            <w:proofErr w:type="spellStart"/>
            <w:r>
              <w:rPr>
                <w:rFonts w:ascii="Arial" w:hAnsi="Arial" w:cs="Arial"/>
                <w:color w:val="000000"/>
                <w:sz w:val="20"/>
                <w:szCs w:val="20"/>
              </w:rPr>
              <w:t>rozostup</w:t>
            </w:r>
            <w:proofErr w:type="spellEnd"/>
            <w:r>
              <w:rPr>
                <w:rFonts w:ascii="Arial" w:hAnsi="Arial" w:cs="Arial"/>
                <w:color w:val="000000"/>
                <w:sz w:val="20"/>
                <w:szCs w:val="20"/>
              </w:rPr>
              <w:t xml:space="preserve"> stolov najmenej 2 metre </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okienkový predaj a rozvoz</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br/>
              <w:t>Bordové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Zaočkovaní:</w:t>
            </w:r>
            <w:r>
              <w:rPr>
                <w:rFonts w:ascii="Arial" w:hAnsi="Arial" w:cs="Arial"/>
                <w:color w:val="000000"/>
                <w:sz w:val="20"/>
                <w:szCs w:val="20"/>
              </w:rPr>
              <w:t xml:space="preserve"> exteriér bez kapacitných obmedzení, interiér 4 osoby pri jednom stole alebo osoby z jednej domácnosti; </w:t>
            </w:r>
            <w:proofErr w:type="spellStart"/>
            <w:r>
              <w:rPr>
                <w:rFonts w:ascii="Arial" w:hAnsi="Arial" w:cs="Arial"/>
                <w:color w:val="000000"/>
                <w:sz w:val="20"/>
                <w:szCs w:val="20"/>
              </w:rPr>
              <w:t>rozostup</w:t>
            </w:r>
            <w:proofErr w:type="spellEnd"/>
            <w:r>
              <w:rPr>
                <w:rFonts w:ascii="Arial" w:hAnsi="Arial" w:cs="Arial"/>
                <w:color w:val="000000"/>
                <w:sz w:val="20"/>
                <w:szCs w:val="20"/>
              </w:rPr>
              <w:t xml:space="preserve"> stolov najmenej 2 metre, konzumácia len posediačky </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OTP:</w:t>
            </w:r>
            <w:r>
              <w:rPr>
                <w:rFonts w:ascii="Arial" w:hAnsi="Arial" w:cs="Arial"/>
                <w:color w:val="000000"/>
                <w:sz w:val="20"/>
                <w:szCs w:val="20"/>
              </w:rPr>
              <w:t xml:space="preserve"> povolený len exteriér, bez kapacitných obmedzení, </w:t>
            </w:r>
            <w:proofErr w:type="spellStart"/>
            <w:r>
              <w:rPr>
                <w:rFonts w:ascii="Arial" w:hAnsi="Arial" w:cs="Arial"/>
                <w:color w:val="000000"/>
                <w:sz w:val="20"/>
                <w:szCs w:val="20"/>
              </w:rPr>
              <w:t>rozostup</w:t>
            </w:r>
            <w:proofErr w:type="spellEnd"/>
            <w:r>
              <w:rPr>
                <w:rFonts w:ascii="Arial" w:hAnsi="Arial" w:cs="Arial"/>
                <w:color w:val="000000"/>
                <w:sz w:val="20"/>
                <w:szCs w:val="20"/>
              </w:rPr>
              <w:t xml:space="preserve"> stolov najmenej 2 metre </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Základ:</w:t>
            </w:r>
            <w:r>
              <w:rPr>
                <w:rFonts w:ascii="Arial" w:hAnsi="Arial" w:cs="Arial"/>
                <w:color w:val="000000"/>
                <w:sz w:val="20"/>
                <w:szCs w:val="20"/>
              </w:rPr>
              <w:t xml:space="preserve"> okienkový predaj a rozvoz</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lastRenderedPageBreak/>
              <w:br/>
              <w:t>Pre predaj jedál so sebou alebo prostredníctvom donáškovej služby neplatia obmedzenia.</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FITNESS CENTRÁ</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Zelené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Zaočkovaní: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OTP: 1 zákazník na 15 metrov štvorcových alebo najviac 50 zákazníkov</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Základ: najviac 25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br/>
              <w:t>Oranžové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Zaočkovaní: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OTP: 1 zákazník na 15 metrov štvorcových alebo najviac 20 zákazníkov</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Základ: najviac 10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br/>
              <w:t>Červené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Zaočkovaní: 50 zákazníkov alebo 1 zákazník na 15 m2</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OTP: 10 zákazníkov alebo 1 zákazník na 25 m2</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Základ: zakázané</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r>
            <w:r>
              <w:rPr>
                <w:rFonts w:ascii="Arial" w:hAnsi="Arial" w:cs="Arial"/>
                <w:b/>
                <w:bCs/>
                <w:color w:val="000000"/>
                <w:sz w:val="20"/>
                <w:szCs w:val="20"/>
                <w:u w:val="single"/>
              </w:rPr>
              <w:t>Bordové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Zaočkovaní: 20 zákazníkov alebo 1 zákazník na 15 m2</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OTP: zakázané</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Základ: zakázané</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r>
            <w:r>
              <w:rPr>
                <w:rFonts w:ascii="Arial" w:hAnsi="Arial" w:cs="Arial"/>
                <w:b/>
                <w:bCs/>
                <w:color w:val="000000"/>
                <w:sz w:val="20"/>
                <w:szCs w:val="20"/>
              </w:rPr>
              <w:br/>
              <w:t>MÚZEÁ, GALÉRIE, VÝSTAVNÉ SIENE</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Zelené okresy:</w:t>
            </w:r>
            <w:r>
              <w:rPr>
                <w:rFonts w:ascii="Arial" w:hAnsi="Arial" w:cs="Arial"/>
                <w:color w:val="000000"/>
                <w:sz w:val="20"/>
                <w:szCs w:val="20"/>
              </w:rPr>
              <w:t xml:space="preserve"> bez kapacitných obmedzení</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Oranžové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Zaočkovaní: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OTP: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Základ: individuálne prehliadky len do počtu 1 osoba na 15 metrov štvorcových</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Červené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Zaočkovaní: hromadné prehliadky v skupinách bez kapacitných obmedzení</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OTP: hromadné prehliadky v skupinách do 10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Základ: individuálne prehliadky s obmedzením 1 návštevník na 15 m2</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Bordové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Zaočkovaní: hromadné prehliadky v skupinách bez kapacitných obmedzení</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OTP: individuálne prehliadky len do počtu 1 osoba na 15 metrov štvorcových</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Základ: zakázané</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r>
            <w:r>
              <w:rPr>
                <w:rFonts w:ascii="Arial" w:hAnsi="Arial" w:cs="Arial"/>
                <w:b/>
                <w:bCs/>
                <w:color w:val="000000"/>
                <w:sz w:val="20"/>
                <w:szCs w:val="20"/>
              </w:rPr>
              <w:br/>
              <w:t>WELLNESS, AKVAPARKY, PRÍRODNÉ A LIEČEBNÉ KÚPELE</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Liečebne na predpis lekára: neplatia kapacitné obmedzenia</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Zelené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Zaočkovaní: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OTP: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Základ: najviac 50 % kapacity, maximálne 1000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Oranžové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Zaočkovaní: bez kapacitného limitu</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OTP: maximálne 50 % kapacity, najviac 1000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Základ: nesmie sa používať</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Červené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 xml:space="preserve">Zaočkovaní: pre zákazníkov ubytovaných v týchto prevádzkach bez kapacitného limitu; ak nie sú </w:t>
            </w:r>
            <w:r>
              <w:rPr>
                <w:rFonts w:ascii="Arial" w:hAnsi="Arial" w:cs="Arial"/>
                <w:color w:val="000000"/>
                <w:sz w:val="20"/>
                <w:szCs w:val="20"/>
              </w:rPr>
              <w:lastRenderedPageBreak/>
              <w:t>ubytované v týchto prevádzkach, najviac 10 osôb</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OTP: 10 osôb iba pre zákazníkov ubytovaných v týchto prevádzkach</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Základ: nesmie sa používať</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Bordové okresy:</w:t>
            </w:r>
          </w:p>
          <w:p w:rsidR="000F6E51" w:rsidRDefault="000F6E51">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Činnosť povolená do 10 osôb len pre prevádzky, ktoré sú súčasťou ubytovacích zariadení a poskytujú služby len pre plne zaočkovaných ubytovaných hostí.</w:t>
            </w:r>
          </w:p>
          <w:p w:rsidR="000F6E51" w:rsidRDefault="000F6E51">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Úrad verejného zdravotníctva Slovenskej republiky</w:t>
            </w:r>
          </w:p>
          <w:p w:rsidR="000F6E51" w:rsidRDefault="000F6E51">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000000"/>
                <w:sz w:val="20"/>
                <w:szCs w:val="20"/>
              </w:rPr>
              <w:t>a regionálne úrady verejného zdravotníctva</w:t>
            </w:r>
          </w:p>
        </w:tc>
      </w:tr>
    </w:tbl>
    <w:p w:rsidR="000F6E51" w:rsidRDefault="000F6E51"/>
    <w:sectPr w:rsidR="000F6E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E51"/>
    <w:rsid w:val="000F6E51"/>
    <w:rsid w:val="00E91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F6E51"/>
    <w:rPr>
      <w:color w:val="0000FF" w:themeColor="hyperlink"/>
      <w:u w:val="single"/>
    </w:rPr>
  </w:style>
  <w:style w:type="paragraph" w:styleId="Normlnywebov">
    <w:name w:val="Normal (Web)"/>
    <w:basedOn w:val="Normlny"/>
    <w:uiPriority w:val="99"/>
    <w:unhideWhenUsed/>
    <w:rsid w:val="000F6E5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0F6E51"/>
    <w:rPr>
      <w:b/>
      <w:bCs/>
    </w:rPr>
  </w:style>
  <w:style w:type="paragraph" w:styleId="Textbubliny">
    <w:name w:val="Balloon Text"/>
    <w:basedOn w:val="Normlny"/>
    <w:link w:val="TextbublinyChar"/>
    <w:uiPriority w:val="99"/>
    <w:semiHidden/>
    <w:unhideWhenUsed/>
    <w:rsid w:val="000F6E5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6E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F6E51"/>
    <w:rPr>
      <w:color w:val="0000FF" w:themeColor="hyperlink"/>
      <w:u w:val="single"/>
    </w:rPr>
  </w:style>
  <w:style w:type="paragraph" w:styleId="Normlnywebov">
    <w:name w:val="Normal (Web)"/>
    <w:basedOn w:val="Normlny"/>
    <w:uiPriority w:val="99"/>
    <w:unhideWhenUsed/>
    <w:rsid w:val="000F6E5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0F6E51"/>
    <w:rPr>
      <w:b/>
      <w:bCs/>
    </w:rPr>
  </w:style>
  <w:style w:type="paragraph" w:styleId="Textbubliny">
    <w:name w:val="Balloon Text"/>
    <w:basedOn w:val="Normlny"/>
    <w:link w:val="TextbublinyChar"/>
    <w:uiPriority w:val="99"/>
    <w:semiHidden/>
    <w:unhideWhenUsed/>
    <w:rsid w:val="000F6E5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6E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087798">
      <w:bodyDiv w:val="1"/>
      <w:marLeft w:val="0"/>
      <w:marRight w:val="0"/>
      <w:marTop w:val="0"/>
      <w:marBottom w:val="150"/>
      <w:divBdr>
        <w:top w:val="none" w:sz="0" w:space="0" w:color="auto"/>
        <w:left w:val="none" w:sz="0" w:space="0" w:color="auto"/>
        <w:bottom w:val="none" w:sz="0" w:space="0" w:color="auto"/>
        <w:right w:val="none" w:sz="0" w:space="0" w:color="auto"/>
      </w:divBdr>
      <w:divsChild>
        <w:div w:id="1115366210">
          <w:marLeft w:val="0"/>
          <w:marRight w:val="0"/>
          <w:marTop w:val="0"/>
          <w:marBottom w:val="0"/>
          <w:divBdr>
            <w:top w:val="none" w:sz="0" w:space="0" w:color="auto"/>
            <w:left w:val="none" w:sz="0" w:space="0" w:color="auto"/>
            <w:bottom w:val="none" w:sz="0" w:space="0" w:color="auto"/>
            <w:right w:val="none" w:sz="0" w:space="0" w:color="auto"/>
          </w:divBdr>
          <w:divsChild>
            <w:div w:id="1345327484">
              <w:marLeft w:val="0"/>
              <w:marRight w:val="0"/>
              <w:marTop w:val="0"/>
              <w:marBottom w:val="0"/>
              <w:divBdr>
                <w:top w:val="none" w:sz="0" w:space="0" w:color="auto"/>
                <w:left w:val="none" w:sz="0" w:space="0" w:color="auto"/>
                <w:bottom w:val="none" w:sz="0" w:space="0" w:color="auto"/>
                <w:right w:val="none" w:sz="0" w:space="0" w:color="auto"/>
              </w:divBdr>
              <w:divsChild>
                <w:div w:id="682165003">
                  <w:marLeft w:val="0"/>
                  <w:marRight w:val="0"/>
                  <w:marTop w:val="0"/>
                  <w:marBottom w:val="0"/>
                  <w:divBdr>
                    <w:top w:val="none" w:sz="0" w:space="0" w:color="auto"/>
                    <w:left w:val="none" w:sz="0" w:space="0" w:color="auto"/>
                    <w:bottom w:val="none" w:sz="0" w:space="0" w:color="auto"/>
                    <w:right w:val="none" w:sz="0" w:space="0" w:color="auto"/>
                  </w:divBdr>
                  <w:divsChild>
                    <w:div w:id="915475351">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uvzsr.sk/index.php?option=com_mailto&amp;tmpl=component&amp;link=7508f0e5dbfed3b0ace895ee87475b1d01bf8a6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uvzsr.sk/index.php?view=article&amp;catid=56%3Atlaove-spravy&amp;id=4869%3Aopatrenia-platne-v-zelenych-oranovych-ervenych-a-bordovych-okresoch&amp;tmpl=component&amp;print=1&amp;layout=default&amp;page=&amp;option=com_content&amp;Itemid=62" TargetMode="External"/><Relationship Id="rId10" Type="http://schemas.openxmlformats.org/officeDocument/2006/relationships/hyperlink" Target="https://kulturnysemafor.sk/" TargetMode="External"/><Relationship Id="rId4" Type="http://schemas.openxmlformats.org/officeDocument/2006/relationships/webSettings" Target="webSettings.xml"/><Relationship Id="rId9" Type="http://schemas.openxmlformats.org/officeDocument/2006/relationships/hyperlink" Target="https://www.uvzsr.sk/index.php?option=com_content&amp;view=category&amp;id=56:tlaove-spravy&amp;layout=blog&amp;Itemid=62"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2551</Words>
  <Characters>14545</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 Notebook</dc:creator>
  <cp:lastModifiedBy>CO Notebook</cp:lastModifiedBy>
  <cp:revision>1</cp:revision>
  <dcterms:created xsi:type="dcterms:W3CDTF">2021-09-19T17:32:00Z</dcterms:created>
  <dcterms:modified xsi:type="dcterms:W3CDTF">2021-09-19T17:41:00Z</dcterms:modified>
</cp:coreProperties>
</file>